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55680" w:rsidRPr="0097347E" w:rsidTr="007C137B">
        <w:tc>
          <w:tcPr>
            <w:tcW w:w="9923" w:type="dxa"/>
            <w:gridSpan w:val="4"/>
            <w:shd w:val="clear" w:color="auto" w:fill="auto"/>
          </w:tcPr>
          <w:p w:rsidR="00055680" w:rsidRPr="0097347E" w:rsidRDefault="00055680" w:rsidP="00EF4A24">
            <w:pPr>
              <w:jc w:val="center"/>
              <w:rPr>
                <w:b/>
              </w:rPr>
            </w:pPr>
            <w:bookmarkStart w:id="0" w:name="_GoBack"/>
            <w:bookmarkEnd w:id="0"/>
            <w:r w:rsidRPr="0097347E">
              <w:rPr>
                <w:b/>
              </w:rPr>
              <w:t>PRILOG 4.</w:t>
            </w:r>
          </w:p>
          <w:p w:rsidR="00055680" w:rsidRPr="0097347E" w:rsidRDefault="00055680" w:rsidP="00EF4A24">
            <w:pPr>
              <w:jc w:val="center"/>
              <w:rPr>
                <w:b/>
              </w:rPr>
            </w:pPr>
            <w:r w:rsidRPr="0097347E">
              <w:rPr>
                <w:b/>
              </w:rPr>
              <w:t>OBRAZAC ISKAZA O PROCJENI UČINAKA PROPISA</w:t>
            </w:r>
          </w:p>
        </w:tc>
      </w:tr>
      <w:tr w:rsidR="00055680" w:rsidRPr="0097347E" w:rsidTr="007C137B">
        <w:tc>
          <w:tcPr>
            <w:tcW w:w="851" w:type="dxa"/>
          </w:tcPr>
          <w:p w:rsidR="00055680" w:rsidRPr="0097347E" w:rsidRDefault="00055680" w:rsidP="00EF4A24">
            <w:pPr>
              <w:rPr>
                <w:b/>
              </w:rPr>
            </w:pPr>
            <w:r w:rsidRPr="0097347E">
              <w:rPr>
                <w:b/>
              </w:rPr>
              <w:t>1.</w:t>
            </w:r>
          </w:p>
        </w:tc>
        <w:tc>
          <w:tcPr>
            <w:tcW w:w="9072" w:type="dxa"/>
            <w:gridSpan w:val="3"/>
          </w:tcPr>
          <w:p w:rsidR="00055680" w:rsidRPr="0097347E" w:rsidRDefault="00055680" w:rsidP="00EF4A24">
            <w:pPr>
              <w:rPr>
                <w:b/>
              </w:rPr>
            </w:pPr>
            <w:r w:rsidRPr="0097347E">
              <w:rPr>
                <w:b/>
              </w:rPr>
              <w:t>OPĆE INFORMACIJE</w:t>
            </w:r>
          </w:p>
        </w:tc>
      </w:tr>
      <w:tr w:rsidR="00055680" w:rsidRPr="0097347E" w:rsidTr="00EF4A24">
        <w:tc>
          <w:tcPr>
            <w:tcW w:w="851" w:type="dxa"/>
          </w:tcPr>
          <w:p w:rsidR="00055680" w:rsidRPr="0097347E" w:rsidRDefault="00055680" w:rsidP="00EF4A24">
            <w:r w:rsidRPr="0097347E">
              <w:t>1.1.</w:t>
            </w:r>
          </w:p>
        </w:tc>
        <w:tc>
          <w:tcPr>
            <w:tcW w:w="2698" w:type="dxa"/>
          </w:tcPr>
          <w:p w:rsidR="00055680" w:rsidRPr="0097347E" w:rsidRDefault="00055680" w:rsidP="00EF4A24">
            <w:r w:rsidRPr="0097347E">
              <w:t>Naziv nacrta prijedloga zakona:</w:t>
            </w:r>
          </w:p>
        </w:tc>
        <w:tc>
          <w:tcPr>
            <w:tcW w:w="6374" w:type="dxa"/>
            <w:gridSpan w:val="2"/>
            <w:shd w:val="clear" w:color="auto" w:fill="auto"/>
          </w:tcPr>
          <w:p w:rsidR="00055680" w:rsidRPr="00F4012C" w:rsidRDefault="00F4012C" w:rsidP="00F4012C">
            <w:pPr>
              <w:jc w:val="center"/>
              <w:rPr>
                <w:b/>
              </w:rPr>
            </w:pPr>
            <w:r w:rsidRPr="00F4012C">
              <w:rPr>
                <w:b/>
              </w:rPr>
              <w:t>NACRT PRIJEDLOGA ZAKONA O VODI ZA LJUDSKU POTROŠNJU</w:t>
            </w:r>
          </w:p>
        </w:tc>
      </w:tr>
      <w:tr w:rsidR="00055680" w:rsidRPr="0097347E" w:rsidTr="00EF4A24">
        <w:tc>
          <w:tcPr>
            <w:tcW w:w="851" w:type="dxa"/>
          </w:tcPr>
          <w:p w:rsidR="00055680" w:rsidRPr="0097347E" w:rsidRDefault="00055680" w:rsidP="00EF4A24">
            <w:r w:rsidRPr="0097347E">
              <w:t>1.2.</w:t>
            </w:r>
          </w:p>
        </w:tc>
        <w:tc>
          <w:tcPr>
            <w:tcW w:w="2698" w:type="dxa"/>
          </w:tcPr>
          <w:p w:rsidR="00055680" w:rsidRPr="0097347E" w:rsidRDefault="00055680" w:rsidP="00EF4A24">
            <w:r w:rsidRPr="0097347E">
              <w:t>Program rada Vlade Republike Hrvatske, akt planiranja ili reformska mjera:</w:t>
            </w:r>
          </w:p>
        </w:tc>
        <w:tc>
          <w:tcPr>
            <w:tcW w:w="988" w:type="dxa"/>
            <w:shd w:val="clear" w:color="auto" w:fill="auto"/>
          </w:tcPr>
          <w:p w:rsidR="00055680" w:rsidRPr="0097347E" w:rsidRDefault="005C37CF" w:rsidP="00EF4A24">
            <w:r>
              <w:t>Da/Ne</w:t>
            </w:r>
            <w:r w:rsidR="00055680" w:rsidRPr="0097347E">
              <w:t>:</w:t>
            </w:r>
          </w:p>
          <w:p w:rsidR="00055680" w:rsidRPr="00D30C9C" w:rsidRDefault="005C37CF" w:rsidP="00EF4A24">
            <w:r w:rsidRPr="00D30C9C">
              <w:t>DA</w:t>
            </w:r>
          </w:p>
        </w:tc>
        <w:tc>
          <w:tcPr>
            <w:tcW w:w="5386" w:type="dxa"/>
            <w:shd w:val="clear" w:color="auto" w:fill="auto"/>
          </w:tcPr>
          <w:p w:rsidR="00055680" w:rsidRPr="0097347E" w:rsidRDefault="00055680" w:rsidP="00EF4A24">
            <w:r w:rsidRPr="0097347E">
              <w:t>Naziv akta:</w:t>
            </w:r>
          </w:p>
          <w:p w:rsidR="005C37CF" w:rsidRPr="00D30C9C" w:rsidRDefault="005C37CF" w:rsidP="005C37CF">
            <w:pPr>
              <w:shd w:val="clear" w:color="auto" w:fill="FFFFFF" w:themeFill="background1"/>
            </w:pPr>
            <w:r w:rsidRPr="00D30C9C">
              <w:t>Plan zakonodavnih aktivnosti za 2022. godinu</w:t>
            </w:r>
          </w:p>
          <w:p w:rsidR="00055680" w:rsidRPr="0097347E" w:rsidRDefault="00055680" w:rsidP="00EF4A24"/>
          <w:p w:rsidR="00055680" w:rsidRPr="0097347E" w:rsidRDefault="00055680" w:rsidP="00EF4A24">
            <w:r w:rsidRPr="0097347E">
              <w:t>Opis mjere:</w:t>
            </w:r>
          </w:p>
        </w:tc>
      </w:tr>
      <w:tr w:rsidR="00055680" w:rsidRPr="0097347E" w:rsidTr="00EF4A24">
        <w:tc>
          <w:tcPr>
            <w:tcW w:w="851" w:type="dxa"/>
          </w:tcPr>
          <w:p w:rsidR="00055680" w:rsidRPr="0097347E" w:rsidRDefault="00055680" w:rsidP="00EF4A24">
            <w:r w:rsidRPr="0097347E">
              <w:t>1.3.</w:t>
            </w:r>
          </w:p>
        </w:tc>
        <w:tc>
          <w:tcPr>
            <w:tcW w:w="2698" w:type="dxa"/>
          </w:tcPr>
          <w:p w:rsidR="00055680" w:rsidRPr="0097347E" w:rsidRDefault="00055680" w:rsidP="00EF4A24">
            <w:r w:rsidRPr="0097347E">
              <w:t>Plan usklađivanja zakonodavstva Republike Hrvatske s pravnom stečevinom Europske unije</w:t>
            </w:r>
          </w:p>
        </w:tc>
        <w:tc>
          <w:tcPr>
            <w:tcW w:w="988" w:type="dxa"/>
            <w:shd w:val="clear" w:color="auto" w:fill="auto"/>
          </w:tcPr>
          <w:p w:rsidR="00055680" w:rsidRPr="0097347E" w:rsidRDefault="00055680" w:rsidP="00EF4A24">
            <w:r w:rsidRPr="0097347E">
              <w:t>Da/Ne:</w:t>
            </w:r>
          </w:p>
          <w:p w:rsidR="00055680" w:rsidRPr="00D30C9C" w:rsidRDefault="00F4012C" w:rsidP="00EF4A24">
            <w:r w:rsidRPr="00D30C9C">
              <w:t>DA</w:t>
            </w:r>
          </w:p>
        </w:tc>
        <w:tc>
          <w:tcPr>
            <w:tcW w:w="5386" w:type="dxa"/>
            <w:shd w:val="clear" w:color="auto" w:fill="auto"/>
          </w:tcPr>
          <w:p w:rsidR="00055680" w:rsidRDefault="00055680" w:rsidP="00EF4A24">
            <w:r w:rsidRPr="0097347E">
              <w:t>Naziv pravne stečevine EU:</w:t>
            </w:r>
          </w:p>
          <w:p w:rsidR="005C37CF" w:rsidRPr="00D30C9C" w:rsidRDefault="005C37CF" w:rsidP="005C37CF">
            <w:pPr>
              <w:shd w:val="clear" w:color="auto" w:fill="FFFFFF"/>
              <w:jc w:val="both"/>
              <w:rPr>
                <w:rFonts w:eastAsiaTheme="minorEastAsia"/>
              </w:rPr>
            </w:pPr>
            <w:r w:rsidRPr="00D30C9C">
              <w:rPr>
                <w:bCs/>
              </w:rPr>
              <w:t>Direktiva (EU) 2020/2184 Europskog parlamenta i Vijeća od 16. prosinca 2020. o kvaliteti vode namijenjene za ljudsku potrošnju (preinaka)</w:t>
            </w:r>
          </w:p>
          <w:p w:rsidR="005C37CF" w:rsidRPr="0097347E" w:rsidRDefault="005C37CF" w:rsidP="005C37CF">
            <w:r w:rsidRPr="00D30C9C">
              <w:rPr>
                <w:iCs/>
                <w:color w:val="444444"/>
                <w:shd w:val="clear" w:color="auto" w:fill="FFFFFF"/>
              </w:rPr>
              <w:t xml:space="preserve">( </w:t>
            </w:r>
            <w:r w:rsidR="00761688" w:rsidRPr="00D30C9C">
              <w:rPr>
                <w:iCs/>
                <w:color w:val="444444"/>
                <w:shd w:val="clear" w:color="auto" w:fill="FFFFFF"/>
              </w:rPr>
              <w:t>S</w:t>
            </w:r>
            <w:r w:rsidRPr="00D30C9C">
              <w:rPr>
                <w:iCs/>
                <w:color w:val="444444"/>
                <w:shd w:val="clear" w:color="auto" w:fill="FFFFFF"/>
              </w:rPr>
              <w:t xml:space="preserve">L </w:t>
            </w:r>
            <w:r w:rsidR="004B1A9E">
              <w:rPr>
                <w:iCs/>
                <w:color w:val="444444"/>
                <w:shd w:val="clear" w:color="auto" w:fill="FFFFFF"/>
              </w:rPr>
              <w:t xml:space="preserve">L </w:t>
            </w:r>
            <w:r w:rsidRPr="00D30C9C">
              <w:rPr>
                <w:iCs/>
                <w:color w:val="444444"/>
                <w:shd w:val="clear" w:color="auto" w:fill="FFFFFF"/>
              </w:rPr>
              <w:t>435, 23.12.2020, )</w:t>
            </w:r>
          </w:p>
        </w:tc>
      </w:tr>
      <w:tr w:rsidR="00055680" w:rsidRPr="0097347E" w:rsidTr="007C137B">
        <w:trPr>
          <w:trHeight w:val="314"/>
        </w:trPr>
        <w:tc>
          <w:tcPr>
            <w:tcW w:w="851" w:type="dxa"/>
          </w:tcPr>
          <w:p w:rsidR="00055680" w:rsidRPr="0097347E" w:rsidRDefault="00055680" w:rsidP="00EF4A24">
            <w:pPr>
              <w:rPr>
                <w:b/>
              </w:rPr>
            </w:pPr>
            <w:r w:rsidRPr="0097347E">
              <w:rPr>
                <w:b/>
              </w:rPr>
              <w:t>2.</w:t>
            </w:r>
          </w:p>
        </w:tc>
        <w:tc>
          <w:tcPr>
            <w:tcW w:w="9072" w:type="dxa"/>
            <w:gridSpan w:val="3"/>
            <w:shd w:val="clear" w:color="auto" w:fill="auto"/>
          </w:tcPr>
          <w:p w:rsidR="00055680" w:rsidRPr="0097347E" w:rsidRDefault="00055680" w:rsidP="00EF4A24">
            <w:pPr>
              <w:rPr>
                <w:b/>
              </w:rPr>
            </w:pPr>
            <w:r w:rsidRPr="0097347E">
              <w:rPr>
                <w:b/>
              </w:rPr>
              <w:t>ANALIZA ISHODA NACRTA PRIJEDLOGA ZAKONA</w:t>
            </w:r>
          </w:p>
        </w:tc>
      </w:tr>
      <w:tr w:rsidR="00055680" w:rsidRPr="0097347E" w:rsidTr="00EF4A24">
        <w:tc>
          <w:tcPr>
            <w:tcW w:w="851" w:type="dxa"/>
          </w:tcPr>
          <w:p w:rsidR="00055680" w:rsidRPr="0097347E" w:rsidRDefault="00055680" w:rsidP="00EF4A24">
            <w:r w:rsidRPr="0097347E">
              <w:t>2.1.</w:t>
            </w:r>
          </w:p>
        </w:tc>
        <w:tc>
          <w:tcPr>
            <w:tcW w:w="9072" w:type="dxa"/>
            <w:gridSpan w:val="3"/>
            <w:shd w:val="clear" w:color="auto" w:fill="auto"/>
          </w:tcPr>
          <w:p w:rsidR="008E017A" w:rsidRPr="00DC2819" w:rsidRDefault="008E017A" w:rsidP="00EF4A24">
            <w:pPr>
              <w:jc w:val="both"/>
              <w:rPr>
                <w:i/>
              </w:rPr>
            </w:pPr>
          </w:p>
          <w:p w:rsidR="00EB05EB" w:rsidRPr="00DC2819" w:rsidRDefault="00CD02A9" w:rsidP="00D30C9C">
            <w:pPr>
              <w:shd w:val="clear" w:color="auto" w:fill="FFFFFF"/>
              <w:jc w:val="both"/>
              <w:rPr>
                <w:rFonts w:eastAsiaTheme="minorEastAsia"/>
                <w:szCs w:val="24"/>
              </w:rPr>
            </w:pPr>
            <w:r w:rsidRPr="00DC2819">
              <w:rPr>
                <w:szCs w:val="24"/>
              </w:rPr>
              <w:t xml:space="preserve">Direktivom (EU) </w:t>
            </w:r>
            <w:r w:rsidRPr="00DC2819">
              <w:rPr>
                <w:rFonts w:eastAsiaTheme="minorEastAsia"/>
                <w:szCs w:val="24"/>
              </w:rPr>
              <w:t>2020/2184</w:t>
            </w:r>
            <w:r w:rsidR="00107B11" w:rsidRPr="00DC2819">
              <w:rPr>
                <w:rFonts w:eastAsiaTheme="minorEastAsia"/>
                <w:szCs w:val="24"/>
              </w:rPr>
              <w:t xml:space="preserve"> </w:t>
            </w:r>
            <w:r w:rsidR="00107B11" w:rsidRPr="00DC2819">
              <w:rPr>
                <w:bCs/>
              </w:rPr>
              <w:t xml:space="preserve">Europskog parlamenta i Vijeća od </w:t>
            </w:r>
            <w:r w:rsidR="00107B11" w:rsidRPr="00DC2819">
              <w:rPr>
                <w:rFonts w:eastAsiaTheme="minorEastAsia"/>
              </w:rPr>
              <w:t>16. prosinca 2020.</w:t>
            </w:r>
            <w:r w:rsidR="00107B11" w:rsidRPr="00DC2819">
              <w:rPr>
                <w:bCs/>
              </w:rPr>
              <w:t xml:space="preserve"> o kvaliteti vode namijenjene za ljudsku potrošnju (preinaka)</w:t>
            </w:r>
            <w:r w:rsidR="00107B11" w:rsidRPr="00DC2819">
              <w:rPr>
                <w:rFonts w:eastAsiaTheme="minorEastAsia"/>
              </w:rPr>
              <w:t xml:space="preserve"> </w:t>
            </w:r>
            <w:r w:rsidR="00107B11" w:rsidRPr="00DC2819">
              <w:rPr>
                <w:i/>
                <w:iCs/>
                <w:color w:val="444444"/>
                <w:shd w:val="clear" w:color="auto" w:fill="FFFFFF"/>
              </w:rPr>
              <w:t>(SL L 435, 23.12.2020, )</w:t>
            </w:r>
            <w:r w:rsidR="00107B11" w:rsidRPr="00DC2819">
              <w:rPr>
                <w:bCs/>
              </w:rPr>
              <w:t xml:space="preserve"> (u daljnjem tekstu:</w:t>
            </w:r>
            <w:r w:rsidR="00107B11" w:rsidRPr="00DC2819">
              <w:rPr>
                <w:rFonts w:eastAsiaTheme="minorEastAsia"/>
              </w:rPr>
              <w:t xml:space="preserve"> </w:t>
            </w:r>
            <w:r w:rsidR="00107B11" w:rsidRPr="00DC2819">
              <w:rPr>
                <w:rFonts w:eastAsiaTheme="minorEastAsia"/>
                <w:i/>
              </w:rPr>
              <w:t>Direktiva (</w:t>
            </w:r>
            <w:r w:rsidR="00107B11" w:rsidRPr="00DC2819">
              <w:rPr>
                <w:bCs/>
                <w:i/>
              </w:rPr>
              <w:t xml:space="preserve">EU) 2020/2184 </w:t>
            </w:r>
            <w:r w:rsidR="00107B11" w:rsidRPr="00DC2819">
              <w:rPr>
                <w:bCs/>
              </w:rPr>
              <w:t xml:space="preserve"> </w:t>
            </w:r>
            <w:r w:rsidRPr="00DC2819">
              <w:rPr>
                <w:rFonts w:eastAsiaTheme="minorEastAsia"/>
                <w:szCs w:val="24"/>
              </w:rPr>
              <w:t>preinačena je Direktiva 98/83/EZ od 03. studenog 1998 o kvaliteti vode namijenjene za ljudsku potrošnju ( u daljnjem tekstu:</w:t>
            </w:r>
            <w:r w:rsidRPr="00DC2819">
              <w:rPr>
                <w:color w:val="000000"/>
                <w:szCs w:val="24"/>
              </w:rPr>
              <w:t xml:space="preserve"> Direktiva Vijeća 98/83/EZ) </w:t>
            </w:r>
            <w:r w:rsidRPr="00DC2819">
              <w:rPr>
                <w:rFonts w:eastAsiaTheme="minorEastAsia"/>
                <w:szCs w:val="24"/>
              </w:rPr>
              <w:t>koja se</w:t>
            </w:r>
            <w:r w:rsidR="008E017A" w:rsidRPr="00DC2819">
              <w:rPr>
                <w:rFonts w:eastAsiaTheme="minorEastAsia"/>
                <w:szCs w:val="24"/>
              </w:rPr>
              <w:t xml:space="preserve"> s</w:t>
            </w:r>
            <w:r w:rsidRPr="00DC2819">
              <w:rPr>
                <w:rFonts w:eastAsiaTheme="minorEastAsia"/>
                <w:szCs w:val="24"/>
              </w:rPr>
              <w:t xml:space="preserve"> dan</w:t>
            </w:r>
            <w:r w:rsidR="008E017A" w:rsidRPr="00DC2819">
              <w:rPr>
                <w:rFonts w:eastAsiaTheme="minorEastAsia"/>
                <w:szCs w:val="24"/>
              </w:rPr>
              <w:t>om</w:t>
            </w:r>
            <w:r w:rsidRPr="00DC2819">
              <w:rPr>
                <w:rFonts w:eastAsiaTheme="minorEastAsia"/>
                <w:szCs w:val="24"/>
              </w:rPr>
              <w:t xml:space="preserve"> 13. siječnja 2023. godine stavlja izvan snage s učinkom ne dovodeći u pitanje obveze država članica u pogledu rokova za prenošenje u nacionalno zakonodavstvo. </w:t>
            </w:r>
          </w:p>
          <w:p w:rsidR="00062DBF" w:rsidRPr="00DC2819" w:rsidRDefault="00062DBF" w:rsidP="00D30C9C">
            <w:pPr>
              <w:shd w:val="clear" w:color="auto" w:fill="FFFFFF"/>
              <w:jc w:val="both"/>
              <w:rPr>
                <w:rFonts w:eastAsiaTheme="minorEastAsia"/>
              </w:rPr>
            </w:pPr>
          </w:p>
          <w:p w:rsidR="00487CD7" w:rsidRPr="00DC2819" w:rsidRDefault="00487CD7" w:rsidP="008E017A">
            <w:pPr>
              <w:shd w:val="clear" w:color="auto" w:fill="FFFFFF" w:themeFill="background1"/>
              <w:jc w:val="both"/>
              <w:rPr>
                <w:rFonts w:eastAsiaTheme="minorEastAsia"/>
                <w:szCs w:val="24"/>
              </w:rPr>
            </w:pPr>
            <w:r w:rsidRPr="00DC2819">
              <w:rPr>
                <w:rFonts w:eastAsiaTheme="minorEastAsia"/>
                <w:szCs w:val="24"/>
              </w:rPr>
              <w:t>U skladu s navedenim</w:t>
            </w:r>
            <w:r w:rsidR="008E017A" w:rsidRPr="00DC2819">
              <w:rPr>
                <w:rFonts w:eastAsiaTheme="minorEastAsia"/>
                <w:szCs w:val="24"/>
              </w:rPr>
              <w:t>,</w:t>
            </w:r>
            <w:r w:rsidRPr="00DC2819">
              <w:rPr>
                <w:rFonts w:eastAsiaTheme="minorEastAsia"/>
                <w:szCs w:val="24"/>
              </w:rPr>
              <w:t xml:space="preserve"> R</w:t>
            </w:r>
            <w:r w:rsidR="00062DBF" w:rsidRPr="00DC2819">
              <w:rPr>
                <w:rFonts w:eastAsiaTheme="minorEastAsia"/>
                <w:szCs w:val="24"/>
              </w:rPr>
              <w:t xml:space="preserve">epublika </w:t>
            </w:r>
            <w:r w:rsidRPr="00DC2819">
              <w:rPr>
                <w:rFonts w:eastAsiaTheme="minorEastAsia"/>
                <w:szCs w:val="24"/>
              </w:rPr>
              <w:t>H</w:t>
            </w:r>
            <w:r w:rsidR="00062DBF" w:rsidRPr="00DC2819">
              <w:rPr>
                <w:rFonts w:eastAsiaTheme="minorEastAsia"/>
                <w:szCs w:val="24"/>
              </w:rPr>
              <w:t>rvatska</w:t>
            </w:r>
            <w:r w:rsidR="008E017A" w:rsidRPr="00DC2819">
              <w:rPr>
                <w:rFonts w:eastAsiaTheme="minorEastAsia"/>
                <w:szCs w:val="24"/>
              </w:rPr>
              <w:t xml:space="preserve"> kao punopravna članica EU</w:t>
            </w:r>
            <w:r w:rsidRPr="00DC2819">
              <w:rPr>
                <w:rFonts w:eastAsiaTheme="minorEastAsia"/>
                <w:szCs w:val="24"/>
              </w:rPr>
              <w:t xml:space="preserve"> u obvezi</w:t>
            </w:r>
            <w:r w:rsidR="008E017A" w:rsidRPr="00DC2819">
              <w:rPr>
                <w:rFonts w:eastAsiaTheme="minorEastAsia"/>
                <w:szCs w:val="24"/>
              </w:rPr>
              <w:t xml:space="preserve"> </w:t>
            </w:r>
            <w:r w:rsidR="00EB05EB" w:rsidRPr="00DC2819">
              <w:rPr>
                <w:rFonts w:eastAsiaTheme="minorEastAsia"/>
                <w:szCs w:val="24"/>
              </w:rPr>
              <w:t xml:space="preserve">je </w:t>
            </w:r>
            <w:r w:rsidRPr="00DC2819">
              <w:rPr>
                <w:rFonts w:eastAsiaTheme="minorEastAsia"/>
                <w:szCs w:val="24"/>
              </w:rPr>
              <w:t xml:space="preserve">do 13. siječnja 2023. godine </w:t>
            </w:r>
            <w:r w:rsidR="00062DBF" w:rsidRPr="00DC2819">
              <w:rPr>
                <w:rFonts w:eastAsiaTheme="minorEastAsia"/>
                <w:szCs w:val="24"/>
              </w:rPr>
              <w:t xml:space="preserve">prenijeti u nacionalno zakonodavstvo </w:t>
            </w:r>
            <w:r w:rsidRPr="00DC2819">
              <w:rPr>
                <w:rFonts w:eastAsiaTheme="minorEastAsia"/>
                <w:szCs w:val="24"/>
              </w:rPr>
              <w:t>odredbe Direktive (EU) 2020/2184</w:t>
            </w:r>
            <w:r w:rsidR="00EB05EB" w:rsidRPr="00DC2819">
              <w:rPr>
                <w:rFonts w:eastAsiaTheme="minorEastAsia"/>
                <w:szCs w:val="24"/>
              </w:rPr>
              <w:t xml:space="preserve"> u svoje nacionalno zakonodavstvo</w:t>
            </w:r>
            <w:r w:rsidRPr="00DC2819">
              <w:rPr>
                <w:rFonts w:eastAsiaTheme="minorEastAsia"/>
                <w:szCs w:val="24"/>
              </w:rPr>
              <w:t xml:space="preserve">. </w:t>
            </w:r>
          </w:p>
          <w:p w:rsidR="00062DBF" w:rsidRPr="00DC2819" w:rsidRDefault="00062DBF" w:rsidP="008E017A">
            <w:pPr>
              <w:shd w:val="clear" w:color="auto" w:fill="FFFFFF" w:themeFill="background1"/>
              <w:jc w:val="both"/>
              <w:rPr>
                <w:bCs/>
                <w:szCs w:val="24"/>
              </w:rPr>
            </w:pPr>
          </w:p>
          <w:p w:rsidR="0095017F" w:rsidRPr="00DC2819" w:rsidRDefault="00EB05EB" w:rsidP="002462A5">
            <w:pPr>
              <w:shd w:val="clear" w:color="auto" w:fill="FFFFFF" w:themeFill="background1"/>
              <w:jc w:val="both"/>
              <w:rPr>
                <w:bCs/>
                <w:szCs w:val="24"/>
              </w:rPr>
            </w:pPr>
            <w:r w:rsidRPr="00DC2819">
              <w:rPr>
                <w:rFonts w:eastAsiaTheme="minorEastAsia"/>
                <w:szCs w:val="24"/>
              </w:rPr>
              <w:t xml:space="preserve">U </w:t>
            </w:r>
            <w:r w:rsidR="008E017A" w:rsidRPr="00DC2819">
              <w:rPr>
                <w:rFonts w:eastAsiaTheme="minorEastAsia"/>
                <w:szCs w:val="24"/>
              </w:rPr>
              <w:t xml:space="preserve">cilju zaštite zdravlja ljudi od negativnih učinaka bilo kakvog zagađenja vode za ljudsku potrošnju </w:t>
            </w:r>
            <w:r w:rsidRPr="00DC2819">
              <w:rPr>
                <w:rFonts w:eastAsiaTheme="minorEastAsia"/>
                <w:szCs w:val="24"/>
              </w:rPr>
              <w:t xml:space="preserve">ovim zakonskim prijedlogom stvoriti će se pravni temelj kojim će se </w:t>
            </w:r>
            <w:r w:rsidR="00487CD7" w:rsidRPr="00DC2819">
              <w:rPr>
                <w:rFonts w:eastAsiaTheme="minorEastAsia"/>
                <w:szCs w:val="24"/>
              </w:rPr>
              <w:t xml:space="preserve">osigurati zdravstveno ispravna i čista voda za ljudsku potrošnju </w:t>
            </w:r>
            <w:r w:rsidR="008E017A" w:rsidRPr="00DC2819">
              <w:rPr>
                <w:rFonts w:eastAsiaTheme="minorEastAsia"/>
                <w:szCs w:val="24"/>
              </w:rPr>
              <w:t xml:space="preserve">svim stanovnicima </w:t>
            </w:r>
            <w:r w:rsidR="00487CD7" w:rsidRPr="00DC2819">
              <w:rPr>
                <w:rFonts w:eastAsiaTheme="minorEastAsia"/>
                <w:szCs w:val="24"/>
              </w:rPr>
              <w:t xml:space="preserve">na području </w:t>
            </w:r>
            <w:r w:rsidR="00C13B94" w:rsidRPr="00DC2819">
              <w:rPr>
                <w:rFonts w:eastAsiaTheme="minorEastAsia"/>
                <w:szCs w:val="24"/>
              </w:rPr>
              <w:t xml:space="preserve"> Republike Hrvatske</w:t>
            </w:r>
            <w:r w:rsidR="00B06467">
              <w:rPr>
                <w:rFonts w:eastAsiaTheme="minorEastAsia"/>
                <w:szCs w:val="24"/>
              </w:rPr>
              <w:t xml:space="preserve"> </w:t>
            </w:r>
            <w:r w:rsidR="00C13B94" w:rsidRPr="00DC2819">
              <w:rPr>
                <w:rFonts w:eastAsiaTheme="minorEastAsia"/>
                <w:szCs w:val="24"/>
              </w:rPr>
              <w:t xml:space="preserve">provedbom </w:t>
            </w:r>
            <w:r w:rsidR="00487CD7" w:rsidRPr="00DC2819">
              <w:rPr>
                <w:rFonts w:eastAsiaTheme="minorEastAsia"/>
                <w:szCs w:val="24"/>
              </w:rPr>
              <w:t xml:space="preserve">jedinstvenih </w:t>
            </w:r>
            <w:r w:rsidR="008E017A" w:rsidRPr="00DC2819">
              <w:rPr>
                <w:rFonts w:eastAsiaTheme="minorEastAsia"/>
                <w:szCs w:val="24"/>
              </w:rPr>
              <w:t xml:space="preserve">higijenskih </w:t>
            </w:r>
            <w:r w:rsidR="00487CD7" w:rsidRPr="00DC2819">
              <w:rPr>
                <w:rFonts w:eastAsiaTheme="minorEastAsia"/>
                <w:szCs w:val="24"/>
              </w:rPr>
              <w:t>minimalnih zahtjeva u vezi vrijednosti parametara koji se upotrebljavaju za procjenu kvalitete vode za ljudsku pot</w:t>
            </w:r>
            <w:r w:rsidR="008E017A" w:rsidRPr="00DC2819">
              <w:rPr>
                <w:rFonts w:eastAsiaTheme="minorEastAsia"/>
                <w:szCs w:val="24"/>
              </w:rPr>
              <w:t xml:space="preserve">rošnju i omogućiti pristup </w:t>
            </w:r>
            <w:r w:rsidRPr="00DC2819">
              <w:rPr>
                <w:rFonts w:eastAsiaTheme="minorEastAsia"/>
                <w:szCs w:val="24"/>
              </w:rPr>
              <w:t xml:space="preserve">takvoj </w:t>
            </w:r>
            <w:r w:rsidR="008E017A" w:rsidRPr="00DC2819">
              <w:rPr>
                <w:rFonts w:eastAsiaTheme="minorEastAsia"/>
                <w:szCs w:val="24"/>
              </w:rPr>
              <w:t xml:space="preserve">zdravstvenoj ispravnoj </w:t>
            </w:r>
            <w:r w:rsidRPr="00DC2819">
              <w:rPr>
                <w:rFonts w:eastAsiaTheme="minorEastAsia"/>
                <w:szCs w:val="24"/>
              </w:rPr>
              <w:t xml:space="preserve">i čistoj </w:t>
            </w:r>
            <w:r w:rsidR="008E017A" w:rsidRPr="00DC2819">
              <w:rPr>
                <w:rFonts w:eastAsiaTheme="minorEastAsia"/>
                <w:szCs w:val="24"/>
              </w:rPr>
              <w:t xml:space="preserve">vodi za ljudsku potrošnju </w:t>
            </w:r>
            <w:r w:rsidR="00487CD7" w:rsidRPr="00DC2819">
              <w:rPr>
                <w:rFonts w:eastAsiaTheme="minorEastAsia"/>
                <w:szCs w:val="24"/>
              </w:rPr>
              <w:t xml:space="preserve">svim stanovnicima </w:t>
            </w:r>
            <w:r w:rsidR="00C13B94" w:rsidRPr="00DC2819">
              <w:rPr>
                <w:rFonts w:eastAsiaTheme="minorEastAsia"/>
                <w:szCs w:val="24"/>
              </w:rPr>
              <w:t xml:space="preserve">Republike Hrvatske </w:t>
            </w:r>
            <w:r w:rsidR="00487CD7" w:rsidRPr="00DC2819">
              <w:rPr>
                <w:rFonts w:eastAsiaTheme="minorEastAsia"/>
                <w:szCs w:val="24"/>
              </w:rPr>
              <w:t>s posebnim naglaskom na marginalizirane odnosno društveno ranjive skupine</w:t>
            </w:r>
            <w:r w:rsidR="00C13B94" w:rsidRPr="00DC2819">
              <w:rPr>
                <w:rFonts w:eastAsiaTheme="minorEastAsia"/>
                <w:szCs w:val="24"/>
              </w:rPr>
              <w:t>.</w:t>
            </w:r>
            <w:r w:rsidR="00487CD7" w:rsidRPr="00DC2819">
              <w:rPr>
                <w:rFonts w:eastAsiaTheme="minorEastAsia"/>
                <w:szCs w:val="24"/>
              </w:rPr>
              <w:t xml:space="preserve"> Kako bi se odgovorilo na sve veću zabrinutost javnosti zbog učinaka novih spojeva </w:t>
            </w:r>
            <w:r w:rsidR="00537BF9" w:rsidRPr="00DC2819">
              <w:rPr>
                <w:rFonts w:eastAsiaTheme="minorEastAsia"/>
                <w:szCs w:val="24"/>
              </w:rPr>
              <w:t xml:space="preserve"> (mikroplastike, endokrinih disruptora) </w:t>
            </w:r>
            <w:r w:rsidR="00487CD7" w:rsidRPr="00DC2819">
              <w:rPr>
                <w:rFonts w:eastAsiaTheme="minorEastAsia"/>
                <w:szCs w:val="24"/>
              </w:rPr>
              <w:t>ovim zakon</w:t>
            </w:r>
            <w:r w:rsidR="00537BF9" w:rsidRPr="00DC2819">
              <w:rPr>
                <w:rFonts w:eastAsiaTheme="minorEastAsia"/>
                <w:szCs w:val="24"/>
              </w:rPr>
              <w:t>skim prijedlogom</w:t>
            </w:r>
            <w:r w:rsidR="00487CD7" w:rsidRPr="00DC2819">
              <w:rPr>
                <w:rFonts w:eastAsiaTheme="minorEastAsia"/>
                <w:szCs w:val="24"/>
              </w:rPr>
              <w:t xml:space="preserve"> uvesti će se mehanizam popisa za praćenje u skladu s navodima provedbenog propisa kojima će se isto propisati.</w:t>
            </w:r>
          </w:p>
          <w:p w:rsidR="002462A5" w:rsidRPr="00DC2819" w:rsidRDefault="00EB05EB" w:rsidP="002462A5">
            <w:pPr>
              <w:shd w:val="clear" w:color="auto" w:fill="FFFFFF" w:themeFill="background1"/>
              <w:jc w:val="both"/>
              <w:rPr>
                <w:rFonts w:eastAsiaTheme="minorEastAsia"/>
                <w:szCs w:val="24"/>
              </w:rPr>
            </w:pPr>
            <w:r w:rsidRPr="00DC2819">
              <w:rPr>
                <w:rFonts w:eastAsiaTheme="minorEastAsia"/>
                <w:szCs w:val="24"/>
              </w:rPr>
              <w:t>Novim prijedlogom zakona uvest će</w:t>
            </w:r>
            <w:r w:rsidR="00537BF9" w:rsidRPr="00DC2819">
              <w:rPr>
                <w:rFonts w:eastAsiaTheme="minorEastAsia"/>
                <w:szCs w:val="24"/>
              </w:rPr>
              <w:t xml:space="preserve"> se odredbe u vezi uvođenja potpunog</w:t>
            </w:r>
            <w:r w:rsidRPr="00DC2819">
              <w:rPr>
                <w:rFonts w:eastAsiaTheme="minorEastAsia"/>
                <w:szCs w:val="24"/>
              </w:rPr>
              <w:t xml:space="preserve"> pristup</w:t>
            </w:r>
            <w:r w:rsidR="00537BF9" w:rsidRPr="00DC2819">
              <w:rPr>
                <w:rFonts w:eastAsiaTheme="minorEastAsia"/>
                <w:szCs w:val="24"/>
              </w:rPr>
              <w:t>a vodi za ljudsku potrošnju</w:t>
            </w:r>
            <w:r w:rsidRPr="00DC2819">
              <w:rPr>
                <w:rFonts w:eastAsiaTheme="minorEastAsia"/>
                <w:szCs w:val="24"/>
              </w:rPr>
              <w:t xml:space="preserve"> </w:t>
            </w:r>
            <w:r w:rsidR="00537BF9" w:rsidRPr="00DC2819">
              <w:rPr>
                <w:rFonts w:eastAsiaTheme="minorEastAsia"/>
                <w:szCs w:val="24"/>
              </w:rPr>
              <w:t xml:space="preserve">temeljenom na riziku u pogledu </w:t>
            </w:r>
            <w:r w:rsidRPr="00DC2819">
              <w:rPr>
                <w:rFonts w:eastAsiaTheme="minorEastAsia"/>
                <w:szCs w:val="24"/>
              </w:rPr>
              <w:t xml:space="preserve">sigurnosti </w:t>
            </w:r>
            <w:r w:rsidR="00537BF9" w:rsidRPr="00DC2819">
              <w:rPr>
                <w:rFonts w:eastAsiaTheme="minorEastAsia"/>
                <w:szCs w:val="24"/>
              </w:rPr>
              <w:t xml:space="preserve">vode </w:t>
            </w:r>
            <w:r w:rsidRPr="00DC2819">
              <w:rPr>
                <w:rFonts w:eastAsiaTheme="minorEastAsia"/>
                <w:szCs w:val="24"/>
              </w:rPr>
              <w:t>koji</w:t>
            </w:r>
            <w:r w:rsidR="00537BF9" w:rsidRPr="00DC2819">
              <w:rPr>
                <w:rFonts w:eastAsiaTheme="minorEastAsia"/>
                <w:szCs w:val="24"/>
              </w:rPr>
              <w:t>m</w:t>
            </w:r>
            <w:r w:rsidRPr="00DC2819">
              <w:rPr>
                <w:rFonts w:eastAsiaTheme="minorEastAsia"/>
                <w:szCs w:val="24"/>
              </w:rPr>
              <w:t xml:space="preserve"> će se </w:t>
            </w:r>
            <w:r w:rsidR="00537BF9" w:rsidRPr="00DC2819">
              <w:rPr>
                <w:rFonts w:eastAsiaTheme="minorEastAsia"/>
                <w:szCs w:val="24"/>
              </w:rPr>
              <w:t xml:space="preserve">obuhvatiti </w:t>
            </w:r>
            <w:r w:rsidRPr="00DC2819">
              <w:rPr>
                <w:rFonts w:eastAsiaTheme="minorEastAsia"/>
                <w:szCs w:val="24"/>
              </w:rPr>
              <w:t xml:space="preserve">cijeli </w:t>
            </w:r>
            <w:r w:rsidR="00537BF9" w:rsidRPr="00DC2819">
              <w:rPr>
                <w:rFonts w:eastAsiaTheme="minorEastAsia"/>
                <w:szCs w:val="24"/>
              </w:rPr>
              <w:t>lanac opskrbe od područja sliva</w:t>
            </w:r>
            <w:r w:rsidRPr="00DC2819">
              <w:rPr>
                <w:rFonts w:eastAsiaTheme="minorEastAsia"/>
                <w:szCs w:val="24"/>
              </w:rPr>
              <w:t>,</w:t>
            </w:r>
            <w:r w:rsidR="00537BF9" w:rsidRPr="00DC2819">
              <w:rPr>
                <w:rFonts w:eastAsiaTheme="minorEastAsia"/>
                <w:szCs w:val="24"/>
              </w:rPr>
              <w:t xml:space="preserve"> </w:t>
            </w:r>
            <w:r w:rsidRPr="00DC2819">
              <w:rPr>
                <w:rFonts w:eastAsiaTheme="minorEastAsia"/>
                <w:szCs w:val="24"/>
              </w:rPr>
              <w:t>zahvaćanja, obrade, skladištenja i distribu</w:t>
            </w:r>
            <w:r w:rsidR="00537BF9" w:rsidRPr="00DC2819">
              <w:rPr>
                <w:rFonts w:eastAsiaTheme="minorEastAsia"/>
                <w:szCs w:val="24"/>
              </w:rPr>
              <w:t>cije vode do točke usklađenosti, uzimajući pri tome u obzir učinke klimatskih promjena na vodne resurse.</w:t>
            </w:r>
          </w:p>
          <w:p w:rsidR="0095017F" w:rsidRPr="00DC2819" w:rsidRDefault="0095017F" w:rsidP="002462A5">
            <w:pPr>
              <w:shd w:val="clear" w:color="auto" w:fill="FFFFFF" w:themeFill="background1"/>
              <w:jc w:val="both"/>
              <w:rPr>
                <w:rFonts w:eastAsiaTheme="minorEastAsia"/>
                <w:szCs w:val="24"/>
              </w:rPr>
            </w:pPr>
          </w:p>
          <w:p w:rsidR="00927F54" w:rsidRPr="00DC2819" w:rsidRDefault="002462A5" w:rsidP="002462A5">
            <w:pPr>
              <w:shd w:val="clear" w:color="auto" w:fill="FFFFFF" w:themeFill="background1"/>
              <w:jc w:val="both"/>
              <w:rPr>
                <w:rFonts w:eastAsiaTheme="minorEastAsia"/>
                <w:szCs w:val="24"/>
              </w:rPr>
            </w:pPr>
            <w:r w:rsidRPr="00DC2819">
              <w:rPr>
                <w:rFonts w:eastAsiaTheme="minorEastAsia"/>
                <w:szCs w:val="24"/>
              </w:rPr>
              <w:t xml:space="preserve">Taj potpuni pristup vodi zakonski će biti razrađen na tri dijela na dio vezan </w:t>
            </w:r>
            <w:r w:rsidRPr="00DC2819">
              <w:rPr>
                <w:color w:val="000000"/>
                <w:szCs w:val="24"/>
              </w:rPr>
              <w:t>procjene rizika i upravljanja rizikom za područje sliva za vodozahvate vode namijenjene za ljudsku potrošnju</w:t>
            </w:r>
            <w:r w:rsidRPr="00DC2819">
              <w:rPr>
                <w:rFonts w:eastAsiaTheme="minorEastAsia"/>
                <w:szCs w:val="24"/>
              </w:rPr>
              <w:t xml:space="preserve"> uz identifikaciju rizika u području sliva za vodozahvate, na dio </w:t>
            </w:r>
            <w:r w:rsidRPr="00DC2819">
              <w:rPr>
                <w:color w:val="000000"/>
                <w:szCs w:val="24"/>
              </w:rPr>
              <w:t xml:space="preserve">procjene rizika i upravljanje rizikom za sustav opskrbe </w:t>
            </w:r>
            <w:r w:rsidRPr="00DC2819">
              <w:rPr>
                <w:rFonts w:eastAsiaTheme="minorEastAsia"/>
                <w:szCs w:val="24"/>
              </w:rPr>
              <w:t>koji će jasno propisati obveze isporučitelja</w:t>
            </w:r>
            <w:r w:rsidR="0095017F" w:rsidRPr="00DC2819">
              <w:rPr>
                <w:rFonts w:eastAsiaTheme="minorEastAsia"/>
                <w:szCs w:val="24"/>
              </w:rPr>
              <w:t xml:space="preserve"> vode</w:t>
            </w:r>
            <w:r w:rsidRPr="00DC2819">
              <w:rPr>
                <w:rFonts w:eastAsiaTheme="minorEastAsia"/>
                <w:szCs w:val="24"/>
              </w:rPr>
              <w:t xml:space="preserve"> u pogledu mjera radi upravljanja rizicima utvrđenima u lancu opskrbe od zahvaćanja, obrade, skladištenja i distribucije vode, te u konačnici </w:t>
            </w:r>
            <w:r w:rsidRPr="00DC2819">
              <w:rPr>
                <w:color w:val="000000"/>
                <w:szCs w:val="24"/>
              </w:rPr>
              <w:t>procjene rizika za kućnu vodoopskrbnu mrežu</w:t>
            </w:r>
            <w:r w:rsidRPr="00DC2819">
              <w:rPr>
                <w:rFonts w:eastAsiaTheme="minorEastAsia"/>
                <w:szCs w:val="24"/>
              </w:rPr>
              <w:t xml:space="preserve"> koji predstavlja posebne odredbe u svezi procjene mogućih rizika koji proizlaze iz kućnih </w:t>
            </w:r>
            <w:r w:rsidRPr="00DC2819">
              <w:rPr>
                <w:rFonts w:eastAsiaTheme="minorEastAsia"/>
                <w:szCs w:val="24"/>
              </w:rPr>
              <w:lastRenderedPageBreak/>
              <w:t xml:space="preserve">vodoopskrbnih mreža kao što su bakterija Legionella ili olovo s posebnim naglaskom na prioritetne objekte, a što je ujedno i najveća promjena u odnosu na dosadašnji pravni okvir, za što će biti potrebno </w:t>
            </w:r>
            <w:r w:rsidR="00927F54" w:rsidRPr="00DC2819">
              <w:rPr>
                <w:rFonts w:eastAsiaTheme="minorEastAsia"/>
                <w:szCs w:val="24"/>
              </w:rPr>
              <w:t>detaljnije razraditi i podzakonskim propisom.</w:t>
            </w:r>
          </w:p>
          <w:p w:rsidR="00927F54" w:rsidRPr="00DC2819" w:rsidRDefault="00927F54" w:rsidP="002462A5">
            <w:pPr>
              <w:shd w:val="clear" w:color="auto" w:fill="FFFFFF" w:themeFill="background1"/>
              <w:jc w:val="both"/>
              <w:rPr>
                <w:rFonts w:eastAsiaTheme="minorEastAsia"/>
                <w:szCs w:val="24"/>
              </w:rPr>
            </w:pPr>
          </w:p>
          <w:p w:rsidR="00927F54" w:rsidRPr="00DC2819" w:rsidRDefault="00927F54" w:rsidP="002462A5">
            <w:pPr>
              <w:shd w:val="clear" w:color="auto" w:fill="FFFFFF" w:themeFill="background1"/>
              <w:jc w:val="both"/>
              <w:rPr>
                <w:rFonts w:eastAsiaTheme="minorEastAsia"/>
                <w:szCs w:val="24"/>
              </w:rPr>
            </w:pPr>
            <w:r w:rsidRPr="00DC2819">
              <w:rPr>
                <w:rFonts w:eastAsiaTheme="minorEastAsia"/>
                <w:szCs w:val="24"/>
              </w:rPr>
              <w:t xml:space="preserve">Zakonskim prijedlogom propisat će se i pravna osnova za donošenje podzakonskih propisa,  a </w:t>
            </w:r>
            <w:r w:rsidR="002462A5" w:rsidRPr="00DC2819">
              <w:rPr>
                <w:rFonts w:eastAsiaTheme="minorEastAsia"/>
                <w:szCs w:val="24"/>
              </w:rPr>
              <w:t>kojim</w:t>
            </w:r>
            <w:r w:rsidRPr="00DC2819">
              <w:rPr>
                <w:rFonts w:eastAsiaTheme="minorEastAsia"/>
                <w:szCs w:val="24"/>
              </w:rPr>
              <w:t>a</w:t>
            </w:r>
            <w:r w:rsidR="002462A5" w:rsidRPr="00DC2819">
              <w:rPr>
                <w:rFonts w:eastAsiaTheme="minorEastAsia"/>
                <w:szCs w:val="24"/>
              </w:rPr>
              <w:t xml:space="preserve"> će se propisati načela u vezi minimalnih higijenskih zahtjeva za materijale koji dolaze u dodir s vodom namijenjenom za ljudsku potrošnju</w:t>
            </w:r>
            <w:r w:rsidR="00186AE4" w:rsidRPr="00DC2819">
              <w:rPr>
                <w:rFonts w:eastAsiaTheme="minorEastAsia"/>
                <w:szCs w:val="24"/>
              </w:rPr>
              <w:t xml:space="preserve"> te</w:t>
            </w:r>
            <w:r w:rsidR="002462A5" w:rsidRPr="00DC2819">
              <w:rPr>
                <w:rFonts w:eastAsiaTheme="minorEastAsia"/>
                <w:szCs w:val="24"/>
              </w:rPr>
              <w:t xml:space="preserve"> minimalni zahtjevi za kemikalije za obradu i medije za filtriranje koji dolaze u dodir s vodom namijenjenom za ljudsku potrošnju.</w:t>
            </w:r>
          </w:p>
          <w:p w:rsidR="00927F54" w:rsidRPr="00DC2819" w:rsidRDefault="00927F54" w:rsidP="002462A5">
            <w:pPr>
              <w:shd w:val="clear" w:color="auto" w:fill="FFFFFF" w:themeFill="background1"/>
              <w:jc w:val="both"/>
              <w:rPr>
                <w:rFonts w:eastAsiaTheme="minorEastAsia"/>
                <w:szCs w:val="24"/>
              </w:rPr>
            </w:pPr>
          </w:p>
          <w:p w:rsidR="00927F54" w:rsidRPr="00DC2819" w:rsidRDefault="00927F54" w:rsidP="002462A5">
            <w:pPr>
              <w:shd w:val="clear" w:color="auto" w:fill="FFFFFF" w:themeFill="background1"/>
              <w:jc w:val="both"/>
              <w:rPr>
                <w:rFonts w:eastAsiaTheme="minorEastAsia"/>
                <w:szCs w:val="24"/>
              </w:rPr>
            </w:pPr>
            <w:r w:rsidRPr="00DC2819">
              <w:rPr>
                <w:rFonts w:eastAsiaTheme="minorEastAsia"/>
                <w:szCs w:val="24"/>
              </w:rPr>
              <w:t xml:space="preserve">Zakonskim </w:t>
            </w:r>
            <w:r w:rsidR="000B18DF" w:rsidRPr="00DC2819">
              <w:rPr>
                <w:rFonts w:eastAsiaTheme="minorEastAsia"/>
                <w:szCs w:val="24"/>
              </w:rPr>
              <w:t>prijedlogom</w:t>
            </w:r>
            <w:r w:rsidR="002462A5" w:rsidRPr="00DC2819">
              <w:rPr>
                <w:rFonts w:eastAsiaTheme="minorEastAsia"/>
                <w:szCs w:val="24"/>
              </w:rPr>
              <w:t xml:space="preserve"> će se detaljno urediti</w:t>
            </w:r>
            <w:r w:rsidRPr="00DC2819">
              <w:rPr>
                <w:rFonts w:eastAsiaTheme="minorEastAsia"/>
                <w:szCs w:val="24"/>
              </w:rPr>
              <w:t xml:space="preserve"> i</w:t>
            </w:r>
            <w:r w:rsidR="002462A5" w:rsidRPr="00DC2819">
              <w:rPr>
                <w:rFonts w:eastAsiaTheme="minorEastAsia"/>
                <w:szCs w:val="24"/>
              </w:rPr>
              <w:t xml:space="preserve"> sustavno praćenje parametara sukladnosti vode za ljudsku potrošnju tvz. monitoring vode za ljudsku potrošnju, te u tom pogledu definirati dionike koji monitoring financiraju i provode. Također, zakonskim prijedlogom </w:t>
            </w:r>
            <w:r w:rsidR="00186AE4" w:rsidRPr="00DC2819">
              <w:rPr>
                <w:color w:val="000000"/>
                <w:szCs w:val="24"/>
              </w:rPr>
              <w:t>uspostaviti će se ekonomičniji i učinkovitiji sustav praćenja kvalitete vod</w:t>
            </w:r>
            <w:r w:rsidRPr="00DC2819">
              <w:rPr>
                <w:color w:val="000000"/>
                <w:szCs w:val="24"/>
              </w:rPr>
              <w:t>e</w:t>
            </w:r>
            <w:r w:rsidR="00186AE4" w:rsidRPr="00DC2819">
              <w:rPr>
                <w:color w:val="000000"/>
                <w:szCs w:val="24"/>
              </w:rPr>
              <w:t xml:space="preserve">  namijenjene za ljudsku potrošnju. </w:t>
            </w:r>
            <w:r w:rsidR="00186AE4" w:rsidRPr="00DC2819">
              <w:rPr>
                <w:rFonts w:eastAsiaTheme="minorEastAsia"/>
                <w:szCs w:val="24"/>
              </w:rPr>
              <w:t>D</w:t>
            </w:r>
            <w:r w:rsidR="002462A5" w:rsidRPr="00DC2819">
              <w:rPr>
                <w:rFonts w:eastAsiaTheme="minorEastAsia"/>
                <w:szCs w:val="24"/>
              </w:rPr>
              <w:t xml:space="preserve">odatno će se </w:t>
            </w:r>
            <w:r w:rsidR="00186AE4" w:rsidRPr="00DC2819">
              <w:rPr>
                <w:rFonts w:eastAsiaTheme="minorEastAsia"/>
                <w:szCs w:val="24"/>
              </w:rPr>
              <w:t xml:space="preserve">urediti područje </w:t>
            </w:r>
            <w:r w:rsidRPr="00DC2819">
              <w:rPr>
                <w:rFonts w:eastAsiaTheme="minorEastAsia"/>
                <w:szCs w:val="24"/>
              </w:rPr>
              <w:t xml:space="preserve">praćenja </w:t>
            </w:r>
            <w:r w:rsidR="002462A5" w:rsidRPr="00DC2819">
              <w:rPr>
                <w:rFonts w:eastAsiaTheme="minorEastAsia"/>
                <w:szCs w:val="24"/>
              </w:rPr>
              <w:t>vode za ljudsku potrošnju kroz sustav samok</w:t>
            </w:r>
            <w:r w:rsidR="000B18DF" w:rsidRPr="00DC2819">
              <w:rPr>
                <w:rFonts w:eastAsiaTheme="minorEastAsia"/>
                <w:szCs w:val="24"/>
              </w:rPr>
              <w:t xml:space="preserve">ontrole svih </w:t>
            </w:r>
            <w:r w:rsidR="002462A5" w:rsidRPr="00DC2819">
              <w:rPr>
                <w:rFonts w:eastAsiaTheme="minorEastAsia"/>
                <w:szCs w:val="24"/>
              </w:rPr>
              <w:t>isporučitelja</w:t>
            </w:r>
            <w:r w:rsidRPr="00DC2819">
              <w:rPr>
                <w:rFonts w:eastAsiaTheme="minorEastAsia"/>
                <w:szCs w:val="24"/>
              </w:rPr>
              <w:t xml:space="preserve"> vode</w:t>
            </w:r>
            <w:r w:rsidR="002462A5" w:rsidRPr="00DC2819">
              <w:rPr>
                <w:rFonts w:eastAsiaTheme="minorEastAsia"/>
                <w:szCs w:val="24"/>
              </w:rPr>
              <w:t xml:space="preserve"> </w:t>
            </w:r>
            <w:r w:rsidR="000B18DF" w:rsidRPr="00DC2819">
              <w:rPr>
                <w:rFonts w:eastAsiaTheme="minorEastAsia"/>
                <w:szCs w:val="24"/>
              </w:rPr>
              <w:t xml:space="preserve">čemu podliježu i mali </w:t>
            </w:r>
            <w:r w:rsidRPr="00DC2819">
              <w:rPr>
                <w:rFonts w:eastAsiaTheme="minorEastAsia"/>
                <w:szCs w:val="24"/>
              </w:rPr>
              <w:t xml:space="preserve">isporučitelji </w:t>
            </w:r>
            <w:r w:rsidR="000B18DF" w:rsidRPr="00DC2819">
              <w:rPr>
                <w:rFonts w:eastAsiaTheme="minorEastAsia"/>
                <w:szCs w:val="24"/>
              </w:rPr>
              <w:t xml:space="preserve">vode koji dosad nisu bili zakonski u obvezi </w:t>
            </w:r>
            <w:r w:rsidRPr="00DC2819">
              <w:rPr>
                <w:rFonts w:eastAsiaTheme="minorEastAsia"/>
                <w:szCs w:val="24"/>
              </w:rPr>
              <w:t>praćenja</w:t>
            </w:r>
            <w:r w:rsidRPr="00DC2819" w:rsidDel="00927F54">
              <w:rPr>
                <w:rFonts w:eastAsiaTheme="minorEastAsia"/>
                <w:szCs w:val="24"/>
              </w:rPr>
              <w:t xml:space="preserve"> </w:t>
            </w:r>
            <w:r w:rsidR="000B18DF" w:rsidRPr="00DC2819">
              <w:rPr>
                <w:rFonts w:eastAsiaTheme="minorEastAsia"/>
                <w:szCs w:val="24"/>
              </w:rPr>
              <w:t xml:space="preserve"> parametara sukladnosti pri čemu moraju u svoj sustav samokontrole </w:t>
            </w:r>
            <w:r w:rsidR="002462A5" w:rsidRPr="00DC2819">
              <w:rPr>
                <w:rFonts w:eastAsiaTheme="minorEastAsia"/>
                <w:szCs w:val="24"/>
              </w:rPr>
              <w:t xml:space="preserve">uzeti </w:t>
            </w:r>
            <w:r w:rsidR="000B18DF" w:rsidRPr="00DC2819">
              <w:rPr>
                <w:rFonts w:eastAsiaTheme="minorEastAsia"/>
                <w:szCs w:val="24"/>
              </w:rPr>
              <w:t>u obzir i ishod</w:t>
            </w:r>
            <w:r w:rsidR="002462A5" w:rsidRPr="00DC2819">
              <w:rPr>
                <w:rFonts w:eastAsiaTheme="minorEastAsia"/>
                <w:szCs w:val="24"/>
              </w:rPr>
              <w:t xml:space="preserve"> procjene rizika područja sliva za vodozahvate, što do sada nije bio slučaj. </w:t>
            </w:r>
          </w:p>
          <w:p w:rsidR="00927F54" w:rsidRPr="00DC2819" w:rsidRDefault="00927F54" w:rsidP="002462A5">
            <w:pPr>
              <w:shd w:val="clear" w:color="auto" w:fill="FFFFFF" w:themeFill="background1"/>
              <w:jc w:val="both"/>
              <w:rPr>
                <w:rFonts w:eastAsiaTheme="minorEastAsia"/>
                <w:szCs w:val="24"/>
              </w:rPr>
            </w:pPr>
          </w:p>
          <w:p w:rsidR="00541E48" w:rsidRPr="00DC2819" w:rsidRDefault="002462A5" w:rsidP="002462A5">
            <w:pPr>
              <w:shd w:val="clear" w:color="auto" w:fill="FFFFFF" w:themeFill="background1"/>
              <w:jc w:val="both"/>
              <w:rPr>
                <w:rFonts w:eastAsiaTheme="minorEastAsia"/>
                <w:szCs w:val="24"/>
              </w:rPr>
            </w:pPr>
            <w:r w:rsidRPr="00DC2819">
              <w:rPr>
                <w:rFonts w:eastAsiaTheme="minorEastAsia"/>
                <w:szCs w:val="24"/>
              </w:rPr>
              <w:t xml:space="preserve">Ovim zakonskim prijedlogom </w:t>
            </w:r>
            <w:r w:rsidR="000B18DF" w:rsidRPr="00DC2819">
              <w:rPr>
                <w:rFonts w:eastAsiaTheme="minorEastAsia"/>
                <w:szCs w:val="24"/>
              </w:rPr>
              <w:t xml:space="preserve">poboljšat će se </w:t>
            </w:r>
            <w:r w:rsidRPr="00DC2819">
              <w:rPr>
                <w:rFonts w:eastAsiaTheme="minorEastAsia"/>
                <w:szCs w:val="24"/>
              </w:rPr>
              <w:t xml:space="preserve">način ovlašćivanja službenih laboratorija za vodu namijenjenu za ljudsku potrošnju, materijale koji dolaze u neposredan dodir s vodom za ljudsku potrošnju, kemikalije i medije za filtriranje koji dolaze u dodir s vodom namijenjenom za ljudsku potrošnju i uvjeti za njihovo ovlašćivanje, </w:t>
            </w:r>
            <w:r w:rsidR="00186AE4" w:rsidRPr="00DC2819">
              <w:rPr>
                <w:rFonts w:eastAsiaTheme="minorEastAsia"/>
                <w:szCs w:val="24"/>
              </w:rPr>
              <w:t xml:space="preserve">uvesti obveza osnivanja </w:t>
            </w:r>
            <w:r w:rsidRPr="00DC2819">
              <w:rPr>
                <w:rFonts w:eastAsiaTheme="minorEastAsia"/>
                <w:szCs w:val="24"/>
              </w:rPr>
              <w:t xml:space="preserve">internih laboratorija </w:t>
            </w:r>
            <w:r w:rsidR="00186AE4" w:rsidRPr="00DC2819">
              <w:rPr>
                <w:rFonts w:eastAsiaTheme="minorEastAsia"/>
                <w:szCs w:val="24"/>
              </w:rPr>
              <w:t xml:space="preserve">za isporučitelje </w:t>
            </w:r>
            <w:r w:rsidR="00541E48" w:rsidRPr="00DC2819">
              <w:rPr>
                <w:rFonts w:eastAsiaTheme="minorEastAsia"/>
                <w:szCs w:val="24"/>
              </w:rPr>
              <w:t xml:space="preserve">vode koji </w:t>
            </w:r>
            <w:r w:rsidR="00186AE4" w:rsidRPr="00DC2819">
              <w:rPr>
                <w:rFonts w:eastAsiaTheme="minorEastAsia"/>
                <w:szCs w:val="24"/>
              </w:rPr>
              <w:t xml:space="preserve">isporučuju vodu za više od 5000 stanovnika </w:t>
            </w:r>
            <w:r w:rsidRPr="00DC2819">
              <w:rPr>
                <w:rFonts w:eastAsiaTheme="minorEastAsia"/>
                <w:szCs w:val="24"/>
              </w:rPr>
              <w:t>te će urediti područje službenih kontrola vode za ljudsku potrošnju i postupanja u slučaju odstupanja parametara za provjeru kvalitete vode namijenjene za ljudsku potrošnju.</w:t>
            </w:r>
          </w:p>
          <w:p w:rsidR="00541E48" w:rsidRPr="00DC2819" w:rsidRDefault="00541E48" w:rsidP="002462A5">
            <w:pPr>
              <w:shd w:val="clear" w:color="auto" w:fill="FFFFFF" w:themeFill="background1"/>
              <w:jc w:val="both"/>
              <w:rPr>
                <w:rFonts w:eastAsiaTheme="minorEastAsia"/>
                <w:szCs w:val="24"/>
              </w:rPr>
            </w:pPr>
          </w:p>
          <w:p w:rsidR="00C915BC" w:rsidRPr="00DC2819" w:rsidRDefault="002462A5" w:rsidP="002462A5">
            <w:pPr>
              <w:shd w:val="clear" w:color="auto" w:fill="FFFFFF" w:themeFill="background1"/>
              <w:jc w:val="both"/>
              <w:rPr>
                <w:rFonts w:eastAsiaTheme="minorEastAsia"/>
                <w:szCs w:val="24"/>
              </w:rPr>
            </w:pPr>
            <w:r w:rsidRPr="00DC2819">
              <w:rPr>
                <w:rFonts w:eastAsiaTheme="minorEastAsia"/>
                <w:szCs w:val="24"/>
              </w:rPr>
              <w:t xml:space="preserve">Ovim zakonskim prijedlogom </w:t>
            </w:r>
            <w:r w:rsidR="00541E48" w:rsidRPr="00DC2819">
              <w:rPr>
                <w:rFonts w:eastAsiaTheme="minorEastAsia"/>
                <w:szCs w:val="24"/>
              </w:rPr>
              <w:t xml:space="preserve">propisat </w:t>
            </w:r>
            <w:r w:rsidR="00186AE4" w:rsidRPr="00DC2819">
              <w:rPr>
                <w:rFonts w:eastAsiaTheme="minorEastAsia"/>
                <w:szCs w:val="24"/>
              </w:rPr>
              <w:t xml:space="preserve">će se pravni temelj za donošenje akta kojim će se </w:t>
            </w:r>
            <w:r w:rsidRPr="00DC2819">
              <w:rPr>
                <w:rFonts w:eastAsiaTheme="minorEastAsia"/>
                <w:szCs w:val="24"/>
              </w:rPr>
              <w:t>poboljša</w:t>
            </w:r>
            <w:r w:rsidR="00186AE4" w:rsidRPr="00DC2819">
              <w:rPr>
                <w:rFonts w:eastAsiaTheme="minorEastAsia"/>
                <w:szCs w:val="24"/>
              </w:rPr>
              <w:t>ti</w:t>
            </w:r>
            <w:r w:rsidRPr="00DC2819">
              <w:rPr>
                <w:rFonts w:eastAsiaTheme="minorEastAsia"/>
                <w:szCs w:val="24"/>
              </w:rPr>
              <w:t xml:space="preserve"> pristup</w:t>
            </w:r>
            <w:r w:rsidR="00186AE4" w:rsidRPr="00DC2819">
              <w:rPr>
                <w:rFonts w:eastAsiaTheme="minorEastAsia"/>
                <w:szCs w:val="24"/>
              </w:rPr>
              <w:t xml:space="preserve"> zdravstvenoj ispravnoj i čistoj vodi za ljudsku potrošnju svim stanovnicima u R</w:t>
            </w:r>
            <w:r w:rsidR="00541E48" w:rsidRPr="00DC2819">
              <w:rPr>
                <w:rFonts w:eastAsiaTheme="minorEastAsia"/>
                <w:szCs w:val="24"/>
              </w:rPr>
              <w:t xml:space="preserve">epublici </w:t>
            </w:r>
            <w:r w:rsidR="00186AE4" w:rsidRPr="00DC2819">
              <w:rPr>
                <w:rFonts w:eastAsiaTheme="minorEastAsia"/>
                <w:szCs w:val="24"/>
              </w:rPr>
              <w:t>H</w:t>
            </w:r>
            <w:r w:rsidR="00541E48" w:rsidRPr="00DC2819">
              <w:rPr>
                <w:rFonts w:eastAsiaTheme="minorEastAsia"/>
                <w:szCs w:val="24"/>
              </w:rPr>
              <w:t>rvatskoj</w:t>
            </w:r>
            <w:r w:rsidR="00186AE4" w:rsidRPr="00DC2819">
              <w:rPr>
                <w:rFonts w:eastAsiaTheme="minorEastAsia"/>
                <w:szCs w:val="24"/>
              </w:rPr>
              <w:t xml:space="preserve"> </w:t>
            </w:r>
            <w:r w:rsidRPr="00DC2819">
              <w:rPr>
                <w:rFonts w:eastAsiaTheme="minorEastAsia"/>
                <w:szCs w:val="24"/>
              </w:rPr>
              <w:t xml:space="preserve"> s naglaskom na ranjive i marginalizirane skupine</w:t>
            </w:r>
            <w:r w:rsidR="00F57416" w:rsidRPr="00DC2819">
              <w:rPr>
                <w:rFonts w:eastAsiaTheme="minorEastAsia"/>
                <w:szCs w:val="24"/>
              </w:rPr>
              <w:t>.</w:t>
            </w:r>
            <w:r w:rsidRPr="00DC2819">
              <w:rPr>
                <w:rFonts w:eastAsiaTheme="minorEastAsia"/>
                <w:szCs w:val="24"/>
              </w:rPr>
              <w:t xml:space="preserve"> </w:t>
            </w:r>
            <w:r w:rsidR="000B18DF" w:rsidRPr="00DC2819">
              <w:rPr>
                <w:color w:val="000000"/>
                <w:szCs w:val="24"/>
              </w:rPr>
              <w:t>Poboljšat će se sustav informiranja potrošača o relevantnim informacijama</w:t>
            </w:r>
            <w:r w:rsidR="00AF7D80" w:rsidRPr="00DC2819">
              <w:rPr>
                <w:color w:val="000000"/>
                <w:szCs w:val="24"/>
              </w:rPr>
              <w:t xml:space="preserve"> u vezi potrošnje vode, zdravstvene ispravnosti vode</w:t>
            </w:r>
            <w:r w:rsidR="000B18DF" w:rsidRPr="00DC2819">
              <w:rPr>
                <w:rFonts w:eastAsiaTheme="minorEastAsia"/>
                <w:szCs w:val="24"/>
              </w:rPr>
              <w:t xml:space="preserve"> putem pametnih aplikacija, </w:t>
            </w:r>
            <w:r w:rsidR="00F57416" w:rsidRPr="00DC2819">
              <w:rPr>
                <w:rFonts w:eastAsiaTheme="minorEastAsia"/>
                <w:szCs w:val="24"/>
              </w:rPr>
              <w:t>mrežnih stranica</w:t>
            </w:r>
            <w:r w:rsidR="000B18DF" w:rsidRPr="00DC2819">
              <w:rPr>
                <w:color w:val="000000"/>
                <w:szCs w:val="24"/>
              </w:rPr>
              <w:t>, računa,</w:t>
            </w:r>
            <w:r w:rsidR="00AF7D80" w:rsidRPr="00DC2819">
              <w:rPr>
                <w:color w:val="000000"/>
                <w:szCs w:val="24"/>
              </w:rPr>
              <w:t xml:space="preserve"> svim potrošačima vode za ljudsku potrošnju što će pridonijeti </w:t>
            </w:r>
            <w:r w:rsidR="000B18DF" w:rsidRPr="00DC2819">
              <w:rPr>
                <w:color w:val="000000"/>
                <w:szCs w:val="24"/>
              </w:rPr>
              <w:t xml:space="preserve"> već</w:t>
            </w:r>
            <w:r w:rsidR="00AF7D80" w:rsidRPr="00DC2819">
              <w:rPr>
                <w:color w:val="000000"/>
                <w:szCs w:val="24"/>
              </w:rPr>
              <w:t>oj</w:t>
            </w:r>
            <w:r w:rsidR="000B18DF" w:rsidRPr="00DC2819">
              <w:rPr>
                <w:color w:val="000000"/>
                <w:szCs w:val="24"/>
              </w:rPr>
              <w:t xml:space="preserve"> </w:t>
            </w:r>
            <w:r w:rsidR="00AF7D80" w:rsidRPr="00DC2819">
              <w:rPr>
                <w:color w:val="000000"/>
                <w:szCs w:val="24"/>
              </w:rPr>
              <w:t>transparentnost</w:t>
            </w:r>
            <w:r w:rsidR="000B18DF" w:rsidRPr="00DC2819">
              <w:rPr>
                <w:color w:val="000000"/>
                <w:szCs w:val="24"/>
              </w:rPr>
              <w:t xml:space="preserve"> i bolj</w:t>
            </w:r>
            <w:r w:rsidR="00AF7D80" w:rsidRPr="00DC2819">
              <w:rPr>
                <w:color w:val="000000"/>
                <w:szCs w:val="24"/>
              </w:rPr>
              <w:t>em</w:t>
            </w:r>
            <w:r w:rsidR="000B18DF" w:rsidRPr="00DC2819">
              <w:rPr>
                <w:color w:val="000000"/>
                <w:szCs w:val="24"/>
              </w:rPr>
              <w:t xml:space="preserve"> protok</w:t>
            </w:r>
            <w:r w:rsidR="00AF7D80" w:rsidRPr="00DC2819">
              <w:rPr>
                <w:color w:val="000000"/>
                <w:szCs w:val="24"/>
              </w:rPr>
              <w:t>u</w:t>
            </w:r>
            <w:r w:rsidR="000B18DF" w:rsidRPr="00DC2819">
              <w:rPr>
                <w:color w:val="000000"/>
                <w:szCs w:val="24"/>
              </w:rPr>
              <w:t xml:space="preserve"> informacija među svim dionicima u području vode za ljudsku potrošnju s ciljem osiguranja zdravstveno ispravne vode za ljudsku potrošnju </w:t>
            </w:r>
            <w:r w:rsidR="00F57416" w:rsidRPr="00DC2819">
              <w:rPr>
                <w:color w:val="000000"/>
                <w:szCs w:val="24"/>
              </w:rPr>
              <w:t xml:space="preserve">stanovništvu </w:t>
            </w:r>
            <w:r w:rsidR="00186AE4" w:rsidRPr="00DC2819">
              <w:rPr>
                <w:color w:val="000000"/>
                <w:szCs w:val="24"/>
              </w:rPr>
              <w:t>R</w:t>
            </w:r>
            <w:r w:rsidR="00F57416" w:rsidRPr="00DC2819">
              <w:rPr>
                <w:color w:val="000000"/>
                <w:szCs w:val="24"/>
              </w:rPr>
              <w:t xml:space="preserve">epublike </w:t>
            </w:r>
            <w:r w:rsidR="00186AE4" w:rsidRPr="00DC2819">
              <w:rPr>
                <w:color w:val="000000"/>
                <w:szCs w:val="24"/>
              </w:rPr>
              <w:t>H</w:t>
            </w:r>
            <w:r w:rsidR="00F57416" w:rsidRPr="00DC2819">
              <w:rPr>
                <w:color w:val="000000"/>
                <w:szCs w:val="24"/>
              </w:rPr>
              <w:t>rvatske</w:t>
            </w:r>
            <w:r w:rsidR="00AF7D80" w:rsidRPr="00DC2819">
              <w:rPr>
                <w:color w:val="000000"/>
                <w:szCs w:val="24"/>
              </w:rPr>
              <w:t xml:space="preserve"> i poticanjem stanovništva na uporabu vode za ljudsku potrošnju iz slavina.  </w:t>
            </w:r>
            <w:r w:rsidRPr="00DC2819">
              <w:rPr>
                <w:rFonts w:eastAsiaTheme="minorEastAsia"/>
                <w:szCs w:val="24"/>
              </w:rPr>
              <w:t>Također će se ovim zakonskim prijedlogom propisati način izvješćivanja javnosti te obvezu isporučiteljima</w:t>
            </w:r>
            <w:r w:rsidR="00C915BC" w:rsidRPr="00DC2819">
              <w:rPr>
                <w:rFonts w:eastAsiaTheme="minorEastAsia"/>
                <w:szCs w:val="24"/>
              </w:rPr>
              <w:t xml:space="preserve"> vode </w:t>
            </w:r>
            <w:r w:rsidRPr="00DC2819">
              <w:rPr>
                <w:rFonts w:eastAsiaTheme="minorEastAsia"/>
                <w:szCs w:val="24"/>
              </w:rPr>
              <w:t>(izuzeti su iz istih mali isporučitelji</w:t>
            </w:r>
            <w:r w:rsidR="008B305A" w:rsidRPr="008B305A">
              <w:rPr>
                <w:rFonts w:eastAsiaTheme="minorEastAsia"/>
                <w:szCs w:val="24"/>
              </w:rPr>
              <w:t xml:space="preserve"> </w:t>
            </w:r>
            <w:r w:rsidRPr="00DC2819">
              <w:rPr>
                <w:rFonts w:eastAsiaTheme="minorEastAsia"/>
                <w:szCs w:val="24"/>
              </w:rPr>
              <w:t>vode</w:t>
            </w:r>
            <w:r w:rsidR="00C915BC" w:rsidRPr="00DC2819">
              <w:rPr>
                <w:rFonts w:eastAsiaTheme="minorEastAsia"/>
                <w:szCs w:val="24"/>
              </w:rPr>
              <w:t>)</w:t>
            </w:r>
            <w:r w:rsidRPr="00DC2819">
              <w:rPr>
                <w:rFonts w:eastAsiaTheme="minorEastAsia"/>
                <w:szCs w:val="24"/>
              </w:rPr>
              <w:t xml:space="preserve"> da na svojim računima ili putem pametne aplikacije,</w:t>
            </w:r>
            <w:r w:rsidR="00C915BC" w:rsidRPr="00DC2819">
              <w:rPr>
                <w:rFonts w:eastAsiaTheme="minorEastAsia"/>
                <w:szCs w:val="24"/>
              </w:rPr>
              <w:t xml:space="preserve"> mrežnih stranica</w:t>
            </w:r>
            <w:r w:rsidRPr="00DC2819">
              <w:rPr>
                <w:rFonts w:eastAsiaTheme="minorEastAsia"/>
                <w:szCs w:val="24"/>
              </w:rPr>
              <w:t xml:space="preserve"> izvješćuju potrošače o godišnjoj potrošnji, promjenama u potrošnji, usporedbi s prosječnom potrošnjom kućanstva, cijeni po litri vode, te jasnim informacijama s mogućnošću ažuriranja istih. Uz izvješćivanja javnosti propisati će se i </w:t>
            </w:r>
            <w:r w:rsidR="00C915BC" w:rsidRPr="00DC2819">
              <w:rPr>
                <w:rFonts w:eastAsiaTheme="minorEastAsia"/>
                <w:szCs w:val="24"/>
              </w:rPr>
              <w:t xml:space="preserve">načini </w:t>
            </w:r>
            <w:r w:rsidRPr="00DC2819">
              <w:rPr>
                <w:rFonts w:eastAsiaTheme="minorEastAsia"/>
                <w:szCs w:val="24"/>
              </w:rPr>
              <w:t>ažuriranja podataka koji se prate na osnovi odredaba ovog zakona, te način izvješćivanja E</w:t>
            </w:r>
            <w:r w:rsidR="00C915BC" w:rsidRPr="00DC2819">
              <w:rPr>
                <w:rFonts w:eastAsiaTheme="minorEastAsia"/>
                <w:szCs w:val="24"/>
              </w:rPr>
              <w:t xml:space="preserve">uropske </w:t>
            </w:r>
            <w:r w:rsidRPr="00DC2819">
              <w:rPr>
                <w:rFonts w:eastAsiaTheme="minorEastAsia"/>
                <w:szCs w:val="24"/>
              </w:rPr>
              <w:t>K</w:t>
            </w:r>
            <w:r w:rsidR="00C915BC" w:rsidRPr="00DC2819">
              <w:rPr>
                <w:rFonts w:eastAsiaTheme="minorEastAsia"/>
                <w:szCs w:val="24"/>
              </w:rPr>
              <w:t>omisije</w:t>
            </w:r>
            <w:r w:rsidRPr="00DC2819">
              <w:rPr>
                <w:rFonts w:eastAsiaTheme="minorEastAsia"/>
                <w:szCs w:val="24"/>
              </w:rPr>
              <w:t xml:space="preserve">. </w:t>
            </w:r>
          </w:p>
          <w:p w:rsidR="00C915BC" w:rsidRPr="00DC2819" w:rsidRDefault="00C915BC" w:rsidP="002462A5">
            <w:pPr>
              <w:shd w:val="clear" w:color="auto" w:fill="FFFFFF" w:themeFill="background1"/>
              <w:jc w:val="both"/>
              <w:rPr>
                <w:rFonts w:eastAsiaTheme="minorEastAsia"/>
                <w:szCs w:val="24"/>
              </w:rPr>
            </w:pPr>
          </w:p>
          <w:p w:rsidR="00AF7D80" w:rsidRPr="00DC2819" w:rsidRDefault="002462A5" w:rsidP="002462A5">
            <w:pPr>
              <w:shd w:val="clear" w:color="auto" w:fill="FFFFFF" w:themeFill="background1"/>
              <w:jc w:val="both"/>
              <w:rPr>
                <w:rFonts w:eastAsiaTheme="minorEastAsia"/>
                <w:szCs w:val="24"/>
              </w:rPr>
            </w:pPr>
            <w:r w:rsidRPr="00DC2819">
              <w:rPr>
                <w:rFonts w:eastAsiaTheme="minorEastAsia"/>
                <w:szCs w:val="24"/>
              </w:rPr>
              <w:t>Zakon</w:t>
            </w:r>
            <w:r w:rsidR="00977730" w:rsidRPr="00DC2819">
              <w:rPr>
                <w:rFonts w:eastAsiaTheme="minorEastAsia"/>
                <w:szCs w:val="24"/>
              </w:rPr>
              <w:t>skim prijedlogom propisat</w:t>
            </w:r>
            <w:r w:rsidRPr="00DC2819">
              <w:rPr>
                <w:rFonts w:eastAsiaTheme="minorEastAsia"/>
                <w:szCs w:val="24"/>
              </w:rPr>
              <w:t xml:space="preserve"> će</w:t>
            </w:r>
            <w:r w:rsidR="00977730" w:rsidRPr="00DC2819">
              <w:rPr>
                <w:rFonts w:eastAsiaTheme="minorEastAsia"/>
                <w:szCs w:val="24"/>
              </w:rPr>
              <w:t xml:space="preserve"> se i</w:t>
            </w:r>
            <w:r w:rsidRPr="00DC2819">
              <w:rPr>
                <w:rFonts w:eastAsiaTheme="minorEastAsia"/>
                <w:szCs w:val="24"/>
              </w:rPr>
              <w:t xml:space="preserve"> prekršajne odredbe prema vrsti prekršaja, kao</w:t>
            </w:r>
            <w:r w:rsidR="00977730" w:rsidRPr="00DC2819">
              <w:rPr>
                <w:rFonts w:eastAsiaTheme="minorEastAsia"/>
                <w:szCs w:val="24"/>
              </w:rPr>
              <w:t xml:space="preserve"> ovlast ministru zdravstva za donošenje podzakonskih</w:t>
            </w:r>
            <w:r w:rsidRPr="00DC2819">
              <w:rPr>
                <w:rFonts w:eastAsiaTheme="minorEastAsia"/>
                <w:szCs w:val="24"/>
              </w:rPr>
              <w:t xml:space="preserve"> propisa u cilju potpunog usklađivanja s odredbama </w:t>
            </w:r>
            <w:r w:rsidR="00977730" w:rsidRPr="00DC2819">
              <w:rPr>
                <w:rFonts w:eastAsiaTheme="minorEastAsia"/>
                <w:szCs w:val="24"/>
              </w:rPr>
              <w:t xml:space="preserve">Direktive </w:t>
            </w:r>
            <w:r w:rsidRPr="00DC2819">
              <w:rPr>
                <w:rFonts w:eastAsiaTheme="minorEastAsia"/>
                <w:szCs w:val="24"/>
              </w:rPr>
              <w:t>(EU) 2020/2184</w:t>
            </w:r>
            <w:r w:rsidR="00977730" w:rsidRPr="00DC2819">
              <w:rPr>
                <w:rFonts w:eastAsiaTheme="minorEastAsia"/>
                <w:szCs w:val="24"/>
              </w:rPr>
              <w:t>.</w:t>
            </w:r>
            <w:r w:rsidRPr="00DC2819">
              <w:rPr>
                <w:rFonts w:eastAsiaTheme="minorEastAsia"/>
                <w:szCs w:val="24"/>
              </w:rPr>
              <w:t xml:space="preserve"> </w:t>
            </w:r>
          </w:p>
          <w:p w:rsidR="00977730" w:rsidRPr="00DC2819" w:rsidRDefault="00977730" w:rsidP="002462A5">
            <w:pPr>
              <w:shd w:val="clear" w:color="auto" w:fill="FFFFFF" w:themeFill="background1"/>
              <w:jc w:val="both"/>
              <w:rPr>
                <w:rFonts w:eastAsiaTheme="minorEastAsia"/>
                <w:szCs w:val="24"/>
              </w:rPr>
            </w:pPr>
          </w:p>
          <w:p w:rsidR="00322FCA" w:rsidRPr="00DC2819" w:rsidRDefault="00AF7D80" w:rsidP="00322FCA">
            <w:pPr>
              <w:jc w:val="both"/>
              <w:rPr>
                <w:rFonts w:eastAsia="Times New Roman"/>
                <w:szCs w:val="24"/>
              </w:rPr>
            </w:pPr>
            <w:r w:rsidRPr="00DC2819">
              <w:rPr>
                <w:rFonts w:eastAsiaTheme="minorEastAsia"/>
                <w:szCs w:val="24"/>
              </w:rPr>
              <w:lastRenderedPageBreak/>
              <w:t>U slučaju da se</w:t>
            </w:r>
            <w:r w:rsidR="00977730" w:rsidRPr="00DC2819">
              <w:rPr>
                <w:rFonts w:eastAsiaTheme="minorEastAsia"/>
                <w:szCs w:val="24"/>
              </w:rPr>
              <w:t xml:space="preserve"> Republika Hrvatska u cijelosti ne uskladi s odredbama Direktive (EU) 2020/2184</w:t>
            </w:r>
            <w:r w:rsidRPr="00DC2819">
              <w:rPr>
                <w:rFonts w:eastAsiaTheme="minorEastAsia"/>
                <w:szCs w:val="24"/>
              </w:rPr>
              <w:t xml:space="preserve"> </w:t>
            </w:r>
            <w:r w:rsidR="00977730" w:rsidRPr="00DC2819">
              <w:rPr>
                <w:rFonts w:eastAsiaTheme="minorEastAsia"/>
                <w:szCs w:val="24"/>
              </w:rPr>
              <w:t xml:space="preserve"> od 13. siječnja  </w:t>
            </w:r>
            <w:r w:rsidRPr="00DC2819">
              <w:rPr>
                <w:rFonts w:eastAsiaTheme="minorEastAsia"/>
                <w:szCs w:val="24"/>
              </w:rPr>
              <w:t>2023.</w:t>
            </w:r>
            <w:r w:rsidR="00977730" w:rsidRPr="00DC2819">
              <w:rPr>
                <w:rFonts w:eastAsiaTheme="minorEastAsia"/>
                <w:szCs w:val="24"/>
              </w:rPr>
              <w:t xml:space="preserve">, Europska komisija ovlaštena je pokrenuti postupak povrede prava Europske Unije, na način kako je to učinjeno u 2019. godini kada je Europska Komisija pokrenula postupak zbog povrede prava Europske Unije putem </w:t>
            </w:r>
            <w:r w:rsidR="00977730" w:rsidRPr="00DC2819">
              <w:rPr>
                <w:szCs w:val="24"/>
              </w:rPr>
              <w:t xml:space="preserve">Službene opomene </w:t>
            </w:r>
            <w:r w:rsidR="00322FCA" w:rsidRPr="00DC2819">
              <w:rPr>
                <w:szCs w:val="24"/>
              </w:rPr>
              <w:t>– povreda br. 2019/2019, u odnosu na prijenos u nacionalno zakonodavstvo Direktive Vijeća 98/83</w:t>
            </w:r>
            <w:r w:rsidR="00977730" w:rsidRPr="00DC2819">
              <w:rPr>
                <w:szCs w:val="24"/>
              </w:rPr>
              <w:t>.</w:t>
            </w:r>
            <w:r w:rsidR="00322FCA" w:rsidRPr="00DC2819">
              <w:rPr>
                <w:szCs w:val="24"/>
              </w:rPr>
              <w:t xml:space="preserve"> </w:t>
            </w:r>
          </w:p>
          <w:p w:rsidR="002462A5" w:rsidRPr="00DC2819" w:rsidRDefault="002462A5" w:rsidP="00537BF9">
            <w:pPr>
              <w:shd w:val="clear" w:color="auto" w:fill="FFFFFF" w:themeFill="background1"/>
              <w:jc w:val="both"/>
              <w:rPr>
                <w:color w:val="000000"/>
                <w:szCs w:val="24"/>
              </w:rPr>
            </w:pPr>
          </w:p>
          <w:p w:rsidR="00AF7D80" w:rsidRPr="00DC2819" w:rsidRDefault="00AF7D80" w:rsidP="00AF7D80">
            <w:pPr>
              <w:shd w:val="clear" w:color="auto" w:fill="FFFFFF" w:themeFill="background1"/>
              <w:jc w:val="both"/>
              <w:rPr>
                <w:color w:val="000000"/>
                <w:szCs w:val="24"/>
              </w:rPr>
            </w:pPr>
            <w:r w:rsidRPr="00DC2819">
              <w:rPr>
                <w:color w:val="000000"/>
                <w:szCs w:val="24"/>
              </w:rPr>
              <w:t>CILJEVI</w:t>
            </w:r>
          </w:p>
          <w:p w:rsidR="00AF7D80" w:rsidRPr="00DC2819" w:rsidRDefault="00AF7D80" w:rsidP="00AF7D80">
            <w:pPr>
              <w:shd w:val="clear" w:color="auto" w:fill="FFFFFF" w:themeFill="background1"/>
              <w:jc w:val="both"/>
              <w:rPr>
                <w:i/>
                <w:color w:val="000000"/>
                <w:szCs w:val="24"/>
              </w:rPr>
            </w:pPr>
            <w:r w:rsidRPr="00DC2819">
              <w:rPr>
                <w:i/>
                <w:color w:val="000000"/>
                <w:szCs w:val="24"/>
              </w:rPr>
              <w:t>Opći cilj:</w:t>
            </w:r>
          </w:p>
          <w:p w:rsidR="00053BA5" w:rsidRPr="00DC2819" w:rsidRDefault="00053BA5" w:rsidP="00AF7D80">
            <w:pPr>
              <w:shd w:val="clear" w:color="auto" w:fill="FFFFFF" w:themeFill="background1"/>
              <w:jc w:val="both"/>
              <w:rPr>
                <w:i/>
                <w:color w:val="000000"/>
                <w:szCs w:val="24"/>
              </w:rPr>
            </w:pPr>
          </w:p>
          <w:p w:rsidR="005935BE" w:rsidRPr="00DC2819" w:rsidRDefault="00AF7D80" w:rsidP="00AF7D80">
            <w:pPr>
              <w:shd w:val="clear" w:color="auto" w:fill="FFFFFF" w:themeFill="background1"/>
              <w:jc w:val="both"/>
              <w:rPr>
                <w:color w:val="000000"/>
                <w:szCs w:val="24"/>
              </w:rPr>
            </w:pPr>
            <w:r w:rsidRPr="00DC2819">
              <w:rPr>
                <w:color w:val="000000"/>
                <w:szCs w:val="24"/>
              </w:rPr>
              <w:t>Zaštita zdravlja ljudi od negativnih učinaka bilo kakvog zagađenja vode namijenjene za ljudsku potrošnju osiguravanjem njezine zdravstvene ispravnosti i čistoće te poboljšanje</w:t>
            </w:r>
            <w:r w:rsidR="008B305A" w:rsidRPr="00DC2819">
              <w:rPr>
                <w:color w:val="000000"/>
                <w:szCs w:val="24"/>
              </w:rPr>
              <w:t xml:space="preserve"> </w:t>
            </w:r>
            <w:r w:rsidR="005935BE" w:rsidRPr="00DC2819">
              <w:rPr>
                <w:color w:val="000000"/>
                <w:szCs w:val="24"/>
              </w:rPr>
              <w:t>kao i poboljšanje</w:t>
            </w:r>
            <w:r w:rsidRPr="00DC2819">
              <w:rPr>
                <w:color w:val="000000"/>
                <w:szCs w:val="24"/>
              </w:rPr>
              <w:t xml:space="preserve"> pristupa vodi namijenjenoj za ljudsku potrošnju</w:t>
            </w:r>
            <w:r w:rsidR="005935BE" w:rsidRPr="00DC2819">
              <w:rPr>
                <w:color w:val="000000"/>
                <w:szCs w:val="24"/>
              </w:rPr>
              <w:t>.</w:t>
            </w:r>
            <w:r w:rsidRPr="00DC2819">
              <w:rPr>
                <w:color w:val="000000"/>
                <w:szCs w:val="24"/>
              </w:rPr>
              <w:t xml:space="preserve"> </w:t>
            </w:r>
            <w:r w:rsidR="00322FCA" w:rsidRPr="00DC2819">
              <w:rPr>
                <w:color w:val="000000"/>
                <w:szCs w:val="24"/>
              </w:rPr>
              <w:t xml:space="preserve">Stvaranje temelja za uvođenje potpunog </w:t>
            </w:r>
            <w:r w:rsidRPr="00DC2819">
              <w:rPr>
                <w:color w:val="000000"/>
                <w:szCs w:val="24"/>
              </w:rPr>
              <w:t>pristup</w:t>
            </w:r>
            <w:r w:rsidR="00322FCA" w:rsidRPr="00DC2819">
              <w:rPr>
                <w:color w:val="000000"/>
                <w:szCs w:val="24"/>
              </w:rPr>
              <w:t>a vodi</w:t>
            </w:r>
            <w:r w:rsidRPr="00DC2819">
              <w:rPr>
                <w:color w:val="000000"/>
                <w:szCs w:val="24"/>
              </w:rPr>
              <w:t xml:space="preserve"> temeljen</w:t>
            </w:r>
            <w:r w:rsidR="00322FCA" w:rsidRPr="00DC2819">
              <w:rPr>
                <w:color w:val="000000"/>
                <w:szCs w:val="24"/>
              </w:rPr>
              <w:t>og</w:t>
            </w:r>
            <w:r w:rsidRPr="00DC2819">
              <w:rPr>
                <w:color w:val="000000"/>
                <w:szCs w:val="24"/>
              </w:rPr>
              <w:t xml:space="preserve"> na riziku u pogledu sigurnosti vode kojim će se obuhvatiti cijeli lanac opskrbe, od područja sliva, zahvaćanja, obrade, skladištenja i distribucije do točke usklađenosti, a sastojati će se procjene rizika i upravljanja  rizikom za područje sliva za vodozahvate vode namijenjene za ljudsku potrošnju, procjene rizika i upravljanje rizikom za sustav opskrbe i procjene rizika za kućnu vodoopskrbnu mrežu. </w:t>
            </w:r>
          </w:p>
          <w:p w:rsidR="005935BE" w:rsidRPr="00DC2819" w:rsidRDefault="005935BE" w:rsidP="00AF7D80">
            <w:pPr>
              <w:shd w:val="clear" w:color="auto" w:fill="FFFFFF" w:themeFill="background1"/>
              <w:jc w:val="both"/>
              <w:rPr>
                <w:color w:val="000000"/>
                <w:szCs w:val="24"/>
              </w:rPr>
            </w:pPr>
          </w:p>
          <w:p w:rsidR="00AF7D80" w:rsidRPr="00DC2819" w:rsidRDefault="00AF7D80" w:rsidP="00AF7D80">
            <w:pPr>
              <w:shd w:val="clear" w:color="auto" w:fill="FFFFFF" w:themeFill="background1"/>
              <w:jc w:val="both"/>
              <w:rPr>
                <w:color w:val="000000"/>
                <w:szCs w:val="24"/>
              </w:rPr>
            </w:pPr>
            <w:r w:rsidRPr="00DC2819">
              <w:rPr>
                <w:color w:val="000000"/>
                <w:szCs w:val="24"/>
              </w:rPr>
              <w:t xml:space="preserve">Proširivanjem i osnaživanjem odredaba procjene rizika sliva, sustava opskrbe i kućne vodoopskrbne mreže te upravljanjem rizicima stvoriti će se mehanizam procjene kako kratkoročnih tako i dugoročnih namjernih i nenamjernih učinaka kako na kvalitetu vode za ljudsku potrošnju tako i na zdravlje ljudi, životinja i biljaka. </w:t>
            </w:r>
          </w:p>
          <w:p w:rsidR="005935BE" w:rsidRPr="00DC2819" w:rsidRDefault="005935BE" w:rsidP="00AF7D80">
            <w:pPr>
              <w:shd w:val="clear" w:color="auto" w:fill="FFFFFF" w:themeFill="background1"/>
              <w:jc w:val="both"/>
              <w:rPr>
                <w:color w:val="000000"/>
                <w:szCs w:val="24"/>
              </w:rPr>
            </w:pPr>
          </w:p>
          <w:p w:rsidR="00AF7D80" w:rsidRPr="00DC2819" w:rsidRDefault="00AF7D80" w:rsidP="00AF7D80">
            <w:pPr>
              <w:shd w:val="clear" w:color="auto" w:fill="FFFFFF" w:themeFill="background1"/>
              <w:jc w:val="both"/>
              <w:rPr>
                <w:color w:val="000000"/>
                <w:szCs w:val="24"/>
              </w:rPr>
            </w:pPr>
            <w:r w:rsidRPr="00DC2819">
              <w:rPr>
                <w:color w:val="000000"/>
                <w:szCs w:val="24"/>
              </w:rPr>
              <w:t>Unaprijedit će se sustav ovlašćivanja službenih i kontrolnih laboratorija za vodu za ljudsku potrošnju. Poboljšat će se sustav informiranja potrošača o relevantnim informacijama, veća transparentnost i bolji protok informacija među dionicima  u području vode za ljudsku potrošnju.</w:t>
            </w:r>
            <w:r w:rsidR="00322FCA" w:rsidRPr="00DC2819">
              <w:rPr>
                <w:color w:val="000000"/>
                <w:szCs w:val="24"/>
              </w:rPr>
              <w:t xml:space="preserve"> </w:t>
            </w:r>
            <w:r w:rsidRPr="00DC2819">
              <w:rPr>
                <w:color w:val="000000"/>
                <w:szCs w:val="24"/>
              </w:rPr>
              <w:t>Ujedno će se poboljšati učinkovitost vodne infrastrukture izbjegavanjem iskorištavanja ograničenih resursa vode za ljudsku potrošnju. Uspostavit će se ekonomičniji i učinkovitiji sustav praćenja kvalitete vod</w:t>
            </w:r>
            <w:r w:rsidR="005935BE" w:rsidRPr="00DC2819">
              <w:rPr>
                <w:color w:val="000000"/>
                <w:szCs w:val="24"/>
              </w:rPr>
              <w:t>e</w:t>
            </w:r>
            <w:r w:rsidRPr="00DC2819">
              <w:rPr>
                <w:color w:val="000000"/>
                <w:szCs w:val="24"/>
              </w:rPr>
              <w:t xml:space="preserve">  namijenjene za ljudsku potrošnju.</w:t>
            </w:r>
          </w:p>
          <w:p w:rsidR="00AF7D80" w:rsidRDefault="00AF7D80">
            <w:pPr>
              <w:shd w:val="clear" w:color="auto" w:fill="FFFFFF" w:themeFill="background1"/>
              <w:jc w:val="both"/>
              <w:rPr>
                <w:color w:val="000000"/>
                <w:szCs w:val="24"/>
              </w:rPr>
            </w:pPr>
            <w:r w:rsidRPr="00DC2819">
              <w:rPr>
                <w:color w:val="000000"/>
                <w:szCs w:val="24"/>
              </w:rPr>
              <w:t xml:space="preserve">Stvorit će se pravni preduvjeti kao temelj za donošenje provedbenih </w:t>
            </w:r>
            <w:r w:rsidR="00B24768" w:rsidRPr="00DC2819">
              <w:rPr>
                <w:color w:val="000000"/>
                <w:szCs w:val="24"/>
              </w:rPr>
              <w:t xml:space="preserve">propisa </w:t>
            </w:r>
            <w:r w:rsidRPr="00DC2819">
              <w:rPr>
                <w:color w:val="000000"/>
                <w:szCs w:val="24"/>
              </w:rPr>
              <w:t>potrebnih za potpuno transponiranje Direktive (EU) 2020/2184</w:t>
            </w:r>
            <w:r w:rsidR="00B24768" w:rsidRPr="00DC2819">
              <w:rPr>
                <w:color w:val="000000"/>
                <w:szCs w:val="24"/>
              </w:rPr>
              <w:t>.</w:t>
            </w:r>
            <w:r w:rsidRPr="00DC2819">
              <w:rPr>
                <w:color w:val="000000"/>
                <w:szCs w:val="24"/>
              </w:rPr>
              <w:t xml:space="preserve"> </w:t>
            </w:r>
          </w:p>
          <w:p w:rsidR="00822432" w:rsidRPr="00DC2819" w:rsidRDefault="00822432">
            <w:pPr>
              <w:shd w:val="clear" w:color="auto" w:fill="FFFFFF" w:themeFill="background1"/>
              <w:jc w:val="both"/>
              <w:rPr>
                <w:color w:val="000000"/>
                <w:szCs w:val="24"/>
              </w:rPr>
            </w:pPr>
          </w:p>
          <w:p w:rsidR="00AF71C7" w:rsidRPr="00DC2819" w:rsidRDefault="00AF7D80" w:rsidP="00AF7D80">
            <w:pPr>
              <w:shd w:val="clear" w:color="auto" w:fill="FFFFFF" w:themeFill="background1"/>
              <w:jc w:val="both"/>
              <w:rPr>
                <w:i/>
                <w:color w:val="000000"/>
                <w:szCs w:val="24"/>
              </w:rPr>
            </w:pPr>
            <w:r w:rsidRPr="00DC2819">
              <w:rPr>
                <w:i/>
                <w:color w:val="000000"/>
                <w:szCs w:val="24"/>
              </w:rPr>
              <w:t>Specifični ciljevi:</w:t>
            </w:r>
          </w:p>
          <w:p w:rsidR="00AF7D80" w:rsidRPr="00DC2819" w:rsidRDefault="00AF7D80" w:rsidP="00AF7D80">
            <w:pPr>
              <w:shd w:val="clear" w:color="auto" w:fill="FFFFFF" w:themeFill="background1"/>
              <w:jc w:val="both"/>
              <w:rPr>
                <w:i/>
                <w:color w:val="000000"/>
                <w:szCs w:val="24"/>
              </w:rPr>
            </w:pPr>
            <w:r w:rsidRPr="00DC2819">
              <w:rPr>
                <w:i/>
                <w:color w:val="000000"/>
                <w:szCs w:val="24"/>
              </w:rPr>
              <w:t xml:space="preserve"> </w:t>
            </w:r>
          </w:p>
          <w:p w:rsidR="00AF7D80" w:rsidRPr="00DC2819" w:rsidRDefault="00AF7D80" w:rsidP="00D30C9C">
            <w:pPr>
              <w:shd w:val="clear" w:color="auto" w:fill="FFFFFF" w:themeFill="background1"/>
              <w:jc w:val="both"/>
              <w:rPr>
                <w:rFonts w:eastAsia="Times New Roman"/>
                <w:szCs w:val="24"/>
              </w:rPr>
            </w:pPr>
            <w:r w:rsidRPr="00DC2819">
              <w:rPr>
                <w:color w:val="000000"/>
                <w:szCs w:val="24"/>
              </w:rPr>
              <w:t xml:space="preserve">Razradit će se opći temelji za zdravstvenu ispravnost i čistoću vode namijenjene za ljudsku potrošnju. Uvest će se obveza osnivanja službenih laboratorija osim za parametre sukladnosti u vodi namijenjenoj za ljudsku potrošnju ono dodatno i za predmete i materijale koji dolaze u neposredan dodir s vodom za ljudsku potrošnju kao i osnivanje internih laboratorija </w:t>
            </w:r>
            <w:r w:rsidRPr="00DC2819">
              <w:rPr>
                <w:rFonts w:eastAsia="Times New Roman"/>
                <w:szCs w:val="24"/>
              </w:rPr>
              <w:t>isporučitelja vode za ljudsku potrošnju  ukoliko isporučuje vodu za više od 5000 stanovnika, kao i kod subjekata u poslovanju.</w:t>
            </w:r>
          </w:p>
          <w:p w:rsidR="00AF7D80" w:rsidRPr="00DC2819" w:rsidRDefault="00AF7D80" w:rsidP="00AF7D80">
            <w:pPr>
              <w:shd w:val="clear" w:color="auto" w:fill="FFFFFF" w:themeFill="background1"/>
              <w:jc w:val="both"/>
              <w:rPr>
                <w:color w:val="000000"/>
                <w:szCs w:val="24"/>
              </w:rPr>
            </w:pPr>
            <w:r w:rsidRPr="00DC2819">
              <w:rPr>
                <w:color w:val="000000"/>
                <w:szCs w:val="24"/>
              </w:rPr>
              <w:t xml:space="preserve">Uspostavit će </w:t>
            </w:r>
            <w:r w:rsidR="00D40E21" w:rsidRPr="00DC2819">
              <w:rPr>
                <w:color w:val="000000"/>
                <w:szCs w:val="24"/>
              </w:rPr>
              <w:t xml:space="preserve">se </w:t>
            </w:r>
            <w:r w:rsidRPr="00DC2819">
              <w:rPr>
                <w:color w:val="000000"/>
                <w:szCs w:val="24"/>
              </w:rPr>
              <w:t xml:space="preserve">mjesta za utvrđivanje parametara sukladnosti. </w:t>
            </w:r>
          </w:p>
          <w:p w:rsidR="00AF7D80" w:rsidRPr="00DC2819" w:rsidRDefault="00AF7D80" w:rsidP="00AF7D80">
            <w:pPr>
              <w:shd w:val="clear" w:color="auto" w:fill="FFFFFF" w:themeFill="background1"/>
              <w:jc w:val="both"/>
              <w:rPr>
                <w:color w:val="000000"/>
                <w:szCs w:val="24"/>
              </w:rPr>
            </w:pPr>
            <w:r w:rsidRPr="00DC2819">
              <w:rPr>
                <w:rFonts w:eastAsia="Times New Roman"/>
                <w:szCs w:val="24"/>
              </w:rPr>
              <w:t xml:space="preserve">Razradit će se postupci kontrole prilikom izgradnje građevina te kontrola parametara sukladnosti vode za ljudsku potrošnju u izgrađenim građevinama </w:t>
            </w:r>
          </w:p>
          <w:p w:rsidR="00AF7D80" w:rsidRPr="00DC2819" w:rsidRDefault="00AF7D80" w:rsidP="00AF7D80">
            <w:pPr>
              <w:shd w:val="clear" w:color="auto" w:fill="FFFFFF" w:themeFill="background1"/>
              <w:jc w:val="both"/>
              <w:rPr>
                <w:color w:val="000000"/>
                <w:szCs w:val="24"/>
              </w:rPr>
            </w:pPr>
            <w:r w:rsidRPr="00DC2819">
              <w:rPr>
                <w:rFonts w:eastAsia="Times New Roman"/>
                <w:szCs w:val="24"/>
              </w:rPr>
              <w:t>Razradit će se postupak u slučaju odstupanja od parametara za provjeru sukladnosti vode za ljudsku potrošnju.</w:t>
            </w:r>
          </w:p>
          <w:p w:rsidR="00AF7D80" w:rsidRPr="00DC2819" w:rsidRDefault="00AF7D80" w:rsidP="00AF7D80">
            <w:pPr>
              <w:shd w:val="clear" w:color="auto" w:fill="FFFFFF" w:themeFill="background1"/>
              <w:jc w:val="both"/>
              <w:rPr>
                <w:color w:val="000000"/>
                <w:szCs w:val="24"/>
              </w:rPr>
            </w:pPr>
            <w:r w:rsidRPr="00DC2819">
              <w:rPr>
                <w:rFonts w:eastAsia="Times New Roman"/>
                <w:bCs/>
                <w:szCs w:val="24"/>
              </w:rPr>
              <w:t>Uspostavit će se i razraditi pristup za sigurnost vode temeljen na riziku (</w:t>
            </w:r>
            <w:r w:rsidRPr="00DC2819">
              <w:rPr>
                <w:color w:val="000000"/>
                <w:szCs w:val="24"/>
              </w:rPr>
              <w:t>procjene rizika i upravljanja  rizikom za područje sliva za vodozahvate vode namijenjene za ljudsku potrošnju, procjene rizika i upravljanje rizikom za sustav opskrbe i procjene rizika za kućnu vodoopskrbnu mreže).</w:t>
            </w:r>
          </w:p>
          <w:p w:rsidR="00AF7D80" w:rsidRPr="00DC2819" w:rsidRDefault="00AF7D80" w:rsidP="00AF7D80">
            <w:pPr>
              <w:shd w:val="clear" w:color="auto" w:fill="FFFFFF" w:themeFill="background1"/>
              <w:jc w:val="both"/>
              <w:rPr>
                <w:rFonts w:eastAsia="Times New Roman"/>
                <w:color w:val="000000"/>
                <w:szCs w:val="24"/>
              </w:rPr>
            </w:pPr>
            <w:r w:rsidRPr="00DC2819">
              <w:rPr>
                <w:rFonts w:eastAsia="Times New Roman"/>
                <w:szCs w:val="24"/>
              </w:rPr>
              <w:lastRenderedPageBreak/>
              <w:t>Definirat će se prava i obveze isporučitelja vode namijenjene za ljudsku potrošnju i ostalih subjekata.</w:t>
            </w:r>
            <w:r w:rsidR="00FE5309">
              <w:rPr>
                <w:rFonts w:eastAsia="Times New Roman"/>
                <w:szCs w:val="24"/>
              </w:rPr>
              <w:t xml:space="preserve"> </w:t>
            </w:r>
            <w:r w:rsidRPr="00DC2819">
              <w:rPr>
                <w:rFonts w:eastAsia="Times New Roman"/>
                <w:szCs w:val="24"/>
              </w:rPr>
              <w:t>Uspostavit</w:t>
            </w:r>
            <w:r w:rsidR="00822432">
              <w:rPr>
                <w:rFonts w:eastAsia="Times New Roman"/>
                <w:szCs w:val="24"/>
              </w:rPr>
              <w:t xml:space="preserve"> </w:t>
            </w:r>
            <w:r w:rsidRPr="00DC2819">
              <w:rPr>
                <w:rFonts w:eastAsia="Times New Roman"/>
                <w:szCs w:val="24"/>
              </w:rPr>
              <w:t xml:space="preserve">će se i definirati </w:t>
            </w:r>
            <w:r w:rsidRPr="00DC2819">
              <w:rPr>
                <w:rFonts w:eastAsia="Times New Roman"/>
                <w:iCs/>
                <w:szCs w:val="24"/>
              </w:rPr>
              <w:t>prava i obveze vlasnika i upravitelja prioritetnih objekata.</w:t>
            </w:r>
            <w:r w:rsidR="00FE5309">
              <w:rPr>
                <w:rFonts w:eastAsia="Times New Roman"/>
                <w:iCs/>
                <w:szCs w:val="24"/>
              </w:rPr>
              <w:t xml:space="preserve"> </w:t>
            </w:r>
            <w:r w:rsidR="00D40E21" w:rsidRPr="00DC2819">
              <w:rPr>
                <w:rFonts w:eastAsia="Times New Roman"/>
                <w:color w:val="000000"/>
                <w:szCs w:val="24"/>
              </w:rPr>
              <w:t>Zakonskim prijedlogom će se nadalje</w:t>
            </w:r>
            <w:r w:rsidRPr="00DC2819">
              <w:rPr>
                <w:rFonts w:eastAsia="Times New Roman"/>
                <w:color w:val="000000"/>
                <w:szCs w:val="24"/>
              </w:rPr>
              <w:t xml:space="preserve"> definirati prava i obveze subjekata koji stavljaju u promet materijale i proizvode koji dolaze u dodir s vodom namijenjenom za ljudsku potrošnju.</w:t>
            </w:r>
          </w:p>
          <w:p w:rsidR="00AF7D80" w:rsidRPr="00DC2819" w:rsidRDefault="00AF7D80" w:rsidP="00AF7D80">
            <w:pPr>
              <w:shd w:val="clear" w:color="auto" w:fill="FFFFFF" w:themeFill="background1"/>
              <w:jc w:val="both"/>
              <w:rPr>
                <w:rFonts w:eastAsia="Times New Roman"/>
                <w:szCs w:val="24"/>
              </w:rPr>
            </w:pPr>
            <w:r w:rsidRPr="00DC2819">
              <w:rPr>
                <w:rFonts w:eastAsia="Times New Roman"/>
                <w:szCs w:val="24"/>
              </w:rPr>
              <w:t>Definirat će se minimalni higijenski zahtjevi za materijale koji dolaze u dodir s vodom namijenjenom za ljudsku potrošnju i za kemikalije za obradu i medije za filtriranje koji dolaze u dodir s vodom namijenjenom za ljudsku potrošnju.</w:t>
            </w:r>
          </w:p>
          <w:p w:rsidR="00AF7D80" w:rsidRPr="00DC2819" w:rsidRDefault="00AF7D80" w:rsidP="00AF7D80">
            <w:pPr>
              <w:shd w:val="clear" w:color="auto" w:fill="FFFFFF" w:themeFill="background1"/>
              <w:jc w:val="both"/>
              <w:rPr>
                <w:rFonts w:eastAsia="Times New Roman"/>
                <w:color w:val="000000"/>
                <w:szCs w:val="24"/>
              </w:rPr>
            </w:pPr>
            <w:r w:rsidRPr="00DC2819">
              <w:rPr>
                <w:rFonts w:eastAsia="Times New Roman"/>
                <w:szCs w:val="24"/>
              </w:rPr>
              <w:t>Razradit će se monitoring /sustav praćenja kvalitete vode namijenjene za ljudsku potrošnju.</w:t>
            </w:r>
          </w:p>
          <w:p w:rsidR="00AF7D80" w:rsidRPr="00DC2819" w:rsidRDefault="00AF7D80" w:rsidP="00AF7D80">
            <w:pPr>
              <w:shd w:val="clear" w:color="auto" w:fill="FFFFFF" w:themeFill="background1"/>
              <w:jc w:val="both"/>
              <w:rPr>
                <w:rFonts w:eastAsiaTheme="minorEastAsia"/>
                <w:szCs w:val="24"/>
              </w:rPr>
            </w:pPr>
            <w:r w:rsidRPr="00DC2819">
              <w:rPr>
                <w:rFonts w:eastAsiaTheme="minorEastAsia"/>
                <w:szCs w:val="24"/>
              </w:rPr>
              <w:t xml:space="preserve">Osigurati će se dostupnost dostatnih i ažurnih informacija o vodi namijenjenoj ljudskoj potrošnji za javnost poštujući pri tome sva pravila o zaštiti podataka. </w:t>
            </w:r>
          </w:p>
          <w:p w:rsidR="00AF7D80" w:rsidRPr="00DC2819" w:rsidRDefault="00AF7D80" w:rsidP="00AF7D80">
            <w:pPr>
              <w:shd w:val="clear" w:color="auto" w:fill="FFFFFF" w:themeFill="background1"/>
              <w:jc w:val="both"/>
              <w:rPr>
                <w:rFonts w:eastAsiaTheme="minorEastAsia"/>
                <w:szCs w:val="24"/>
              </w:rPr>
            </w:pPr>
            <w:r w:rsidRPr="00DC2819">
              <w:rPr>
                <w:rFonts w:eastAsiaTheme="minorEastAsia"/>
                <w:szCs w:val="24"/>
              </w:rPr>
              <w:t>Uvest će</w:t>
            </w:r>
            <w:r w:rsidR="00494008" w:rsidRPr="00DC2819">
              <w:rPr>
                <w:rFonts w:eastAsiaTheme="minorEastAsia"/>
                <w:szCs w:val="24"/>
              </w:rPr>
              <w:t xml:space="preserve"> se</w:t>
            </w:r>
            <w:r w:rsidRPr="00DC2819">
              <w:rPr>
                <w:rFonts w:eastAsiaTheme="minorEastAsia"/>
                <w:szCs w:val="24"/>
              </w:rPr>
              <w:t xml:space="preserve"> obveze financiranja službenih kontrola.</w:t>
            </w:r>
          </w:p>
          <w:p w:rsidR="00AF7D80" w:rsidRPr="00DC2819" w:rsidRDefault="00AF7D80" w:rsidP="00AF7D80">
            <w:pPr>
              <w:shd w:val="clear" w:color="auto" w:fill="FFFFFF" w:themeFill="background1"/>
              <w:jc w:val="both"/>
              <w:rPr>
                <w:rFonts w:eastAsia="Times New Roman"/>
                <w:szCs w:val="24"/>
              </w:rPr>
            </w:pPr>
            <w:r w:rsidRPr="00DC2819">
              <w:rPr>
                <w:rFonts w:eastAsia="Times New Roman"/>
                <w:szCs w:val="24"/>
              </w:rPr>
              <w:t>Razradit će se postupak u slučaju odstupanja od parametara za provjeru sukladnosti vode za ljudsku potrošnju.</w:t>
            </w:r>
          </w:p>
          <w:p w:rsidR="00AF7D80" w:rsidRPr="00DC2819" w:rsidRDefault="00AF7D80" w:rsidP="00AF7D80">
            <w:pPr>
              <w:shd w:val="clear" w:color="auto" w:fill="FFFFFF" w:themeFill="background1"/>
              <w:jc w:val="both"/>
              <w:rPr>
                <w:rFonts w:eastAsiaTheme="minorEastAsia"/>
                <w:szCs w:val="24"/>
              </w:rPr>
            </w:pPr>
            <w:r w:rsidRPr="00DC2819">
              <w:rPr>
                <w:rFonts w:eastAsia="Times New Roman"/>
                <w:szCs w:val="24"/>
              </w:rPr>
              <w:t>Osigurat će se provođenje službenih kontrola zdravstvene ispravnosti vode namijenjene za ljudsku potrošnju.</w:t>
            </w:r>
          </w:p>
          <w:p w:rsidR="00AF7D80" w:rsidRPr="00DC2819" w:rsidRDefault="00AF7D80" w:rsidP="00AF7D80">
            <w:pPr>
              <w:shd w:val="clear" w:color="auto" w:fill="FFFFFF" w:themeFill="background1"/>
              <w:jc w:val="both"/>
              <w:rPr>
                <w:color w:val="000000"/>
                <w:szCs w:val="24"/>
              </w:rPr>
            </w:pPr>
            <w:r w:rsidRPr="00DC2819">
              <w:rPr>
                <w:color w:val="000000"/>
                <w:szCs w:val="24"/>
              </w:rPr>
              <w:t>Klasificirat će se prekršajne odredbe sukladno vrsti prekršaja.</w:t>
            </w:r>
          </w:p>
          <w:p w:rsidR="00AF7D80" w:rsidRPr="00DC2819" w:rsidRDefault="00494008" w:rsidP="00AF7D80">
            <w:pPr>
              <w:shd w:val="clear" w:color="auto" w:fill="FFFFFF" w:themeFill="background1"/>
              <w:jc w:val="both"/>
              <w:rPr>
                <w:color w:val="000000"/>
                <w:szCs w:val="24"/>
              </w:rPr>
            </w:pPr>
            <w:r w:rsidRPr="00DC2819">
              <w:rPr>
                <w:color w:val="000000"/>
                <w:szCs w:val="24"/>
              </w:rPr>
              <w:t xml:space="preserve">Propisat </w:t>
            </w:r>
            <w:r w:rsidR="00AF7D80" w:rsidRPr="00DC2819">
              <w:rPr>
                <w:color w:val="000000"/>
                <w:szCs w:val="24"/>
              </w:rPr>
              <w:t xml:space="preserve">će se prekršajne odredbe kako za pravne tako i za fizičke osobe sukladno vrsti počinjenja prekršaja sa ciljem poštivanja odredaba </w:t>
            </w:r>
            <w:r w:rsidRPr="00DC2819">
              <w:rPr>
                <w:color w:val="000000"/>
                <w:szCs w:val="24"/>
              </w:rPr>
              <w:t>zakonskog prijedloga,</w:t>
            </w:r>
            <w:r w:rsidR="00AF7D80" w:rsidRPr="00DC2819">
              <w:rPr>
                <w:color w:val="000000"/>
                <w:szCs w:val="24"/>
              </w:rPr>
              <w:t xml:space="preserve"> a u vezi zaštite zdravlja ljudi, životinja i očuvanja okoliša R</w:t>
            </w:r>
            <w:r w:rsidRPr="00DC2819">
              <w:rPr>
                <w:color w:val="000000"/>
                <w:szCs w:val="24"/>
              </w:rPr>
              <w:t xml:space="preserve">epublike </w:t>
            </w:r>
            <w:r w:rsidR="00AF7D80" w:rsidRPr="00DC2819">
              <w:rPr>
                <w:color w:val="000000"/>
                <w:szCs w:val="24"/>
              </w:rPr>
              <w:t>H</w:t>
            </w:r>
            <w:r w:rsidRPr="00DC2819">
              <w:rPr>
                <w:color w:val="000000"/>
                <w:szCs w:val="24"/>
              </w:rPr>
              <w:t>rvatske</w:t>
            </w:r>
            <w:r w:rsidR="00AF7D80" w:rsidRPr="00DC2819">
              <w:rPr>
                <w:color w:val="000000"/>
                <w:szCs w:val="24"/>
              </w:rPr>
              <w:t>.</w:t>
            </w:r>
          </w:p>
          <w:p w:rsidR="00AF7D80" w:rsidRPr="00DC2819" w:rsidRDefault="00AF7D80" w:rsidP="00AF7D80">
            <w:pPr>
              <w:shd w:val="clear" w:color="auto" w:fill="FFFFFF" w:themeFill="background1"/>
              <w:jc w:val="both"/>
              <w:rPr>
                <w:rFonts w:eastAsiaTheme="minorEastAsia"/>
                <w:szCs w:val="24"/>
              </w:rPr>
            </w:pPr>
          </w:p>
          <w:p w:rsidR="005C37CF" w:rsidRPr="00DC2819" w:rsidRDefault="005C37CF" w:rsidP="00EF4A24">
            <w:pPr>
              <w:jc w:val="both"/>
              <w:rPr>
                <w:i/>
              </w:rPr>
            </w:pPr>
          </w:p>
          <w:p w:rsidR="005C37CF" w:rsidRPr="00DC2819" w:rsidRDefault="005C37CF" w:rsidP="00EF4A24">
            <w:pPr>
              <w:jc w:val="both"/>
              <w:rPr>
                <w:i/>
              </w:rPr>
            </w:pPr>
          </w:p>
        </w:tc>
      </w:tr>
      <w:tr w:rsidR="00055680" w:rsidRPr="0097347E" w:rsidTr="007C137B">
        <w:trPr>
          <w:trHeight w:val="240"/>
        </w:trPr>
        <w:tc>
          <w:tcPr>
            <w:tcW w:w="851" w:type="dxa"/>
            <w:shd w:val="clear" w:color="auto" w:fill="auto"/>
          </w:tcPr>
          <w:p w:rsidR="00055680" w:rsidRPr="0097347E" w:rsidRDefault="00055680" w:rsidP="00EF4A24">
            <w:pPr>
              <w:rPr>
                <w:b/>
              </w:rPr>
            </w:pPr>
            <w:r w:rsidRPr="0097347E">
              <w:rPr>
                <w:b/>
              </w:rPr>
              <w:lastRenderedPageBreak/>
              <w:t>3.</w:t>
            </w:r>
          </w:p>
        </w:tc>
        <w:tc>
          <w:tcPr>
            <w:tcW w:w="9072" w:type="dxa"/>
            <w:gridSpan w:val="3"/>
            <w:shd w:val="clear" w:color="auto" w:fill="auto"/>
          </w:tcPr>
          <w:p w:rsidR="00055680" w:rsidRPr="0097347E" w:rsidRDefault="00055680" w:rsidP="00EF4A24">
            <w:pPr>
              <w:rPr>
                <w:b/>
              </w:rPr>
            </w:pPr>
            <w:r w:rsidRPr="0097347E">
              <w:rPr>
                <w:b/>
              </w:rPr>
              <w:t xml:space="preserve">ANALIZA UTVRĐENIH IZRAVNIH UČINAKA  </w:t>
            </w:r>
          </w:p>
        </w:tc>
      </w:tr>
      <w:tr w:rsidR="00055680" w:rsidRPr="0097347E" w:rsidTr="007C137B">
        <w:tc>
          <w:tcPr>
            <w:tcW w:w="851" w:type="dxa"/>
          </w:tcPr>
          <w:p w:rsidR="00055680" w:rsidRPr="0097347E" w:rsidRDefault="00055680" w:rsidP="00EF4A24">
            <w:r w:rsidRPr="0097347E">
              <w:t>3.1.</w:t>
            </w:r>
          </w:p>
        </w:tc>
        <w:tc>
          <w:tcPr>
            <w:tcW w:w="9072" w:type="dxa"/>
            <w:gridSpan w:val="3"/>
          </w:tcPr>
          <w:p w:rsidR="00055680" w:rsidRPr="0097347E" w:rsidRDefault="00055680" w:rsidP="00EF4A24">
            <w:r w:rsidRPr="0097347E">
              <w:rPr>
                <w:b/>
              </w:rPr>
              <w:t xml:space="preserve">Analiza gospodarskih učinaka </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DC2819" w:rsidRDefault="003D3182" w:rsidP="00EF4A24">
            <w:pPr>
              <w:jc w:val="both"/>
              <w:rPr>
                <w:rFonts w:eastAsiaTheme="minorEastAsia"/>
              </w:rPr>
            </w:pPr>
            <w:r w:rsidRPr="0097347E" w:rsidDel="003D3182">
              <w:rPr>
                <w:i/>
              </w:rPr>
              <w:t xml:space="preserve"> </w:t>
            </w:r>
            <w:r w:rsidR="006C3002" w:rsidRPr="00DC2819">
              <w:rPr>
                <w:rFonts w:eastAsiaTheme="minorEastAsia"/>
              </w:rPr>
              <w:t xml:space="preserve">Odredbe novog zakonskog prijedloga u području vode za ljudsku potrošnju zbog uvođenja novog načina procjene rizika koja obuhvaća područje sliva za vodozahvate, te lanac opskrbe od zahvaćanja obrade, skladištenja i distribucije vode, kućne instalacije odrazit će se na sve dionike </w:t>
            </w:r>
            <w:r w:rsidR="003939BB" w:rsidRPr="00DC2819">
              <w:rPr>
                <w:rFonts w:eastAsiaTheme="minorEastAsia"/>
              </w:rPr>
              <w:t>(isporučitelje vode, vlasnike i korisnike priorit</w:t>
            </w:r>
            <w:r w:rsidR="005B3D7D" w:rsidRPr="00DC2819">
              <w:rPr>
                <w:rFonts w:eastAsiaTheme="minorEastAsia"/>
              </w:rPr>
              <w:t>et</w:t>
            </w:r>
            <w:r w:rsidR="003939BB" w:rsidRPr="00DC2819">
              <w:rPr>
                <w:rFonts w:eastAsiaTheme="minorEastAsia"/>
              </w:rPr>
              <w:t>nih objekata, krajnjih potrošača, pravnih ili fizičkih osoba, laboratorije , vodoinstalatere, građevinske radnike itd</w:t>
            </w:r>
            <w:r w:rsidR="005B3D7D" w:rsidRPr="00DC2819">
              <w:rPr>
                <w:rFonts w:eastAsiaTheme="minorEastAsia"/>
              </w:rPr>
              <w:t>.</w:t>
            </w:r>
            <w:r w:rsidR="003939BB" w:rsidRPr="00DC2819">
              <w:rPr>
                <w:rFonts w:eastAsiaTheme="minorEastAsia"/>
              </w:rPr>
              <w:t>)</w:t>
            </w:r>
            <w:r w:rsidR="005B3D7D" w:rsidRPr="00DC2819">
              <w:rPr>
                <w:rFonts w:eastAsiaTheme="minorEastAsia"/>
              </w:rPr>
              <w:t xml:space="preserve">, </w:t>
            </w:r>
            <w:r w:rsidR="006C3002" w:rsidRPr="00DC2819">
              <w:rPr>
                <w:rFonts w:eastAsiaTheme="minorEastAsia"/>
              </w:rPr>
              <w:t>prema mjesno definiranoj nadležnosti i to u vidu uspostave novih programa praćenja, razmjene informacije te poboljšanja cjelokupnog sustava nadležnog za proizvodnju vode za ljudsku potrošnju u cilju dobivanje zdravstveno ispravne i čiste vode.</w:t>
            </w:r>
          </w:p>
          <w:p w:rsidR="003701F9" w:rsidRPr="00DC2819" w:rsidRDefault="006C3002" w:rsidP="00EF4A24">
            <w:pPr>
              <w:jc w:val="both"/>
              <w:rPr>
                <w:rFonts w:eastAsiaTheme="minorEastAsia"/>
              </w:rPr>
            </w:pPr>
            <w:r w:rsidRPr="00DC2819">
              <w:rPr>
                <w:rFonts w:eastAsiaTheme="minorEastAsia"/>
              </w:rPr>
              <w:t>Svi isporučitelji vode za ljudsku potrošnju u obvezi su uspostaviti sustave praćenja zdravstvene ispravnosti vode za ljudsku potrošnju i čistoće vode temeljene na procjeni rizika  izuzev malih isporučitelja koji su obvezi provoditi praćenja parametra A i B skupine</w:t>
            </w:r>
            <w:r w:rsidR="003701F9" w:rsidRPr="00DC2819">
              <w:rPr>
                <w:rFonts w:eastAsiaTheme="minorEastAsia"/>
              </w:rPr>
              <w:t xml:space="preserve"> u vidu  monitoringa što su do sada bili izuzeti</w:t>
            </w:r>
            <w:r w:rsidRPr="00DC2819">
              <w:rPr>
                <w:rFonts w:eastAsiaTheme="minorEastAsia"/>
              </w:rPr>
              <w:t>.</w:t>
            </w:r>
            <w:r w:rsidR="003701F9" w:rsidRPr="00DC2819">
              <w:rPr>
                <w:rFonts w:eastAsiaTheme="minorEastAsia"/>
              </w:rPr>
              <w:t xml:space="preserve"> </w:t>
            </w:r>
          </w:p>
          <w:p w:rsidR="003F17CB" w:rsidRPr="00DC2819" w:rsidRDefault="006C3002" w:rsidP="00EF4A24">
            <w:pPr>
              <w:jc w:val="both"/>
              <w:rPr>
                <w:rFonts w:eastAsiaTheme="minorEastAsia"/>
              </w:rPr>
            </w:pPr>
            <w:r w:rsidRPr="00DC2819">
              <w:rPr>
                <w:rFonts w:eastAsiaTheme="minorEastAsia"/>
              </w:rPr>
              <w:t xml:space="preserve">Sam način izrade procjene rizika </w:t>
            </w:r>
            <w:r w:rsidR="003701F9" w:rsidRPr="00DC2819">
              <w:rPr>
                <w:rFonts w:eastAsiaTheme="minorEastAsia"/>
              </w:rPr>
              <w:t xml:space="preserve">sustava opskrbe, te procjene </w:t>
            </w:r>
            <w:r w:rsidRPr="00DC2819">
              <w:rPr>
                <w:rFonts w:eastAsiaTheme="minorEastAsia"/>
              </w:rPr>
              <w:t>utjecat će možda kod pojedinih isporučitelja</w:t>
            </w:r>
            <w:r w:rsidR="003D3182" w:rsidRPr="00DC2819">
              <w:rPr>
                <w:rFonts w:eastAsiaTheme="minorEastAsia"/>
              </w:rPr>
              <w:t xml:space="preserve"> vode</w:t>
            </w:r>
            <w:r w:rsidRPr="00DC2819">
              <w:rPr>
                <w:rFonts w:eastAsiaTheme="minorEastAsia"/>
              </w:rPr>
              <w:t xml:space="preserve"> na dodatno zapošljavanje </w:t>
            </w:r>
            <w:r w:rsidR="003F17CB" w:rsidRPr="00DC2819">
              <w:rPr>
                <w:rFonts w:eastAsiaTheme="minorEastAsia"/>
              </w:rPr>
              <w:t xml:space="preserve">stručnijih </w:t>
            </w:r>
            <w:r w:rsidR="003701F9" w:rsidRPr="00DC2819">
              <w:rPr>
                <w:rFonts w:eastAsiaTheme="minorEastAsia"/>
              </w:rPr>
              <w:t xml:space="preserve">radnika </w:t>
            </w:r>
            <w:r w:rsidRPr="00DC2819">
              <w:rPr>
                <w:rFonts w:eastAsiaTheme="minorEastAsia"/>
              </w:rPr>
              <w:t>s jedne strane</w:t>
            </w:r>
            <w:r w:rsidR="003701F9" w:rsidRPr="00DC2819">
              <w:rPr>
                <w:rFonts w:eastAsiaTheme="minorEastAsia"/>
              </w:rPr>
              <w:t xml:space="preserve"> dok kod drugih možda neće biti potreba za time. Rast zaposlenosti individualan je pokazatelj gospodarskog razvoja pojedinog isporučitelja</w:t>
            </w:r>
            <w:r w:rsidR="003D3182" w:rsidRPr="00DC2819">
              <w:rPr>
                <w:rFonts w:eastAsiaTheme="minorEastAsia"/>
              </w:rPr>
              <w:t xml:space="preserve"> vode</w:t>
            </w:r>
            <w:r w:rsidR="003701F9" w:rsidRPr="00DC2819">
              <w:rPr>
                <w:rFonts w:eastAsiaTheme="minorEastAsia"/>
              </w:rPr>
              <w:t xml:space="preserve"> i ovisi o trenutnim kvalifikacijama zaposlenog osoblja pri postojećim isporučiteljima vode za ljudsku potrošnju. </w:t>
            </w:r>
          </w:p>
          <w:p w:rsidR="007B69CC" w:rsidRPr="008B305A" w:rsidRDefault="003701F9" w:rsidP="00EF4A24">
            <w:pPr>
              <w:jc w:val="both"/>
              <w:rPr>
                <w:color w:val="000000"/>
                <w:szCs w:val="24"/>
              </w:rPr>
            </w:pPr>
            <w:r w:rsidRPr="00DC2819">
              <w:rPr>
                <w:rFonts w:eastAsiaTheme="minorEastAsia"/>
              </w:rPr>
              <w:t xml:space="preserve">Međutim implementiranje </w:t>
            </w:r>
            <w:r w:rsidR="003F17CB" w:rsidRPr="00DC2819">
              <w:rPr>
                <w:rFonts w:eastAsiaTheme="minorEastAsia"/>
              </w:rPr>
              <w:t>odredbe nacrta prijedloga zakona u svezi provođenja</w:t>
            </w:r>
            <w:r w:rsidRPr="00DC2819">
              <w:rPr>
                <w:rFonts w:eastAsiaTheme="minorEastAsia"/>
              </w:rPr>
              <w:t xml:space="preserve"> procjene rizika kućnih vodoopskrbnih mreža kod svih prioritetnih objekata u R</w:t>
            </w:r>
            <w:r w:rsidR="003D3182" w:rsidRPr="00DC2819">
              <w:rPr>
                <w:rFonts w:eastAsiaTheme="minorEastAsia"/>
              </w:rPr>
              <w:t xml:space="preserve">epublici </w:t>
            </w:r>
            <w:r w:rsidRPr="00DC2819">
              <w:rPr>
                <w:rFonts w:eastAsiaTheme="minorEastAsia"/>
              </w:rPr>
              <w:t>H</w:t>
            </w:r>
            <w:r w:rsidR="003D3182" w:rsidRPr="00DC2819">
              <w:rPr>
                <w:rFonts w:eastAsiaTheme="minorEastAsia"/>
              </w:rPr>
              <w:t>rvatskoj</w:t>
            </w:r>
            <w:r w:rsidRPr="00DC2819">
              <w:rPr>
                <w:rFonts w:eastAsiaTheme="minorEastAsia"/>
              </w:rPr>
              <w:t xml:space="preserve"> utjecat će na interes pojedinih pravnih objekata voljnih za proširenjem svojih djelatnosti u vidu procjena rizika vode za ljudsku potrošnju što će se možda odraziti i na porast zaposlenosti </w:t>
            </w:r>
            <w:r w:rsidR="003F17CB" w:rsidRPr="00DC2819">
              <w:rPr>
                <w:rFonts w:eastAsiaTheme="minorEastAsia"/>
              </w:rPr>
              <w:t xml:space="preserve">i stručnog, i akademski obrazovanog  kadra </w:t>
            </w:r>
            <w:r w:rsidRPr="00DC2819">
              <w:rPr>
                <w:rFonts w:eastAsiaTheme="minorEastAsia"/>
              </w:rPr>
              <w:t>u istima.</w:t>
            </w:r>
            <w:r w:rsidRPr="00F4012C">
              <w:rPr>
                <w:rFonts w:eastAsiaTheme="minorEastAsia"/>
                <w:b/>
              </w:rPr>
              <w:t xml:space="preserve"> </w:t>
            </w:r>
            <w:r w:rsidR="006137C1" w:rsidRPr="00DC2819">
              <w:rPr>
                <w:rFonts w:eastAsiaTheme="minorEastAsia"/>
              </w:rPr>
              <w:t xml:space="preserve">Implementiranjem odredaba ovog nacrta prijedloga zakona stvoriti će se istovjetni uvjeti za postizanje zdravstvene ispravnosti za sve vrste isporučitelja vode za ljudsku potrošnju, </w:t>
            </w:r>
            <w:r w:rsidR="003F17CB" w:rsidRPr="00DC2819">
              <w:rPr>
                <w:rFonts w:eastAsiaTheme="minorEastAsia"/>
              </w:rPr>
              <w:t>kao i za</w:t>
            </w:r>
            <w:r w:rsidR="003F17CB" w:rsidRPr="00F4012C">
              <w:rPr>
                <w:rFonts w:eastAsiaTheme="minorEastAsia"/>
                <w:b/>
              </w:rPr>
              <w:t xml:space="preserve"> </w:t>
            </w:r>
            <w:r w:rsidR="006137C1" w:rsidRPr="00DC2819">
              <w:rPr>
                <w:rFonts w:eastAsiaTheme="minorEastAsia"/>
              </w:rPr>
              <w:t>ostale</w:t>
            </w:r>
            <w:r w:rsidR="006137C1" w:rsidRPr="00F4012C">
              <w:rPr>
                <w:rFonts w:eastAsiaTheme="minorEastAsia"/>
                <w:b/>
              </w:rPr>
              <w:t xml:space="preserve"> </w:t>
            </w:r>
            <w:r w:rsidR="006137C1" w:rsidRPr="00DC2819">
              <w:rPr>
                <w:rFonts w:eastAsiaTheme="minorEastAsia"/>
              </w:rPr>
              <w:t xml:space="preserve">dionike. </w:t>
            </w:r>
            <w:r w:rsidR="003F17CB" w:rsidRPr="00DC2819">
              <w:rPr>
                <w:rFonts w:eastAsiaTheme="minorEastAsia"/>
              </w:rPr>
              <w:t xml:space="preserve">Postoji mogućnost da će </w:t>
            </w:r>
            <w:r w:rsidR="006137C1" w:rsidRPr="00DC2819">
              <w:rPr>
                <w:rFonts w:eastAsiaTheme="minorEastAsia"/>
              </w:rPr>
              <w:t xml:space="preserve">nacrt prijedloga zakona utjecati </w:t>
            </w:r>
            <w:r w:rsidR="003F17CB" w:rsidRPr="00DC2819">
              <w:rPr>
                <w:rFonts w:eastAsiaTheme="minorEastAsia"/>
              </w:rPr>
              <w:t xml:space="preserve">i na </w:t>
            </w:r>
            <w:r w:rsidR="006137C1" w:rsidRPr="00DC2819">
              <w:rPr>
                <w:rFonts w:eastAsiaTheme="minorEastAsia"/>
              </w:rPr>
              <w:t xml:space="preserve">potrebe osiguranja </w:t>
            </w:r>
            <w:r w:rsidR="003F17CB" w:rsidRPr="00DC2819">
              <w:rPr>
                <w:rFonts w:eastAsiaTheme="minorEastAsia"/>
              </w:rPr>
              <w:lastRenderedPageBreak/>
              <w:t>dodatnih</w:t>
            </w:r>
            <w:r w:rsidR="006137C1" w:rsidRPr="00DC2819">
              <w:rPr>
                <w:rFonts w:eastAsiaTheme="minorEastAsia"/>
              </w:rPr>
              <w:t xml:space="preserve"> investicije kod isporučitelja vode za ljudsku potrošnju u vidu formiranja internih</w:t>
            </w:r>
            <w:r w:rsidR="003939BB" w:rsidRPr="00DC2819">
              <w:rPr>
                <w:rFonts w:eastAsiaTheme="minorEastAsia"/>
              </w:rPr>
              <w:t xml:space="preserve"> laboratorija kod </w:t>
            </w:r>
            <w:r w:rsidR="006137C1" w:rsidRPr="00DC2819">
              <w:rPr>
                <w:rFonts w:eastAsiaTheme="minorEastAsia"/>
              </w:rPr>
              <w:t xml:space="preserve">isporučitelja vode koji isporučuju vodo za više od 5000 stanovnika. </w:t>
            </w:r>
            <w:r w:rsidR="003F17CB" w:rsidRPr="00DC2819">
              <w:rPr>
                <w:rFonts w:eastAsiaTheme="minorEastAsia"/>
              </w:rPr>
              <w:t xml:space="preserve">Također, </w:t>
            </w:r>
            <w:r w:rsidR="003939BB" w:rsidRPr="00DC2819">
              <w:rPr>
                <w:rFonts w:eastAsiaTheme="minorEastAsia"/>
              </w:rPr>
              <w:t>z</w:t>
            </w:r>
            <w:r w:rsidR="006137C1" w:rsidRPr="00DC2819">
              <w:rPr>
                <w:rFonts w:eastAsiaTheme="minorEastAsia"/>
              </w:rPr>
              <w:t>bog uvođenja</w:t>
            </w:r>
            <w:r w:rsidR="003939BB" w:rsidRPr="00DC2819">
              <w:rPr>
                <w:rFonts w:eastAsiaTheme="minorEastAsia"/>
              </w:rPr>
              <w:t xml:space="preserve"> obveze provedbe</w:t>
            </w:r>
            <w:r w:rsidR="006137C1" w:rsidRPr="00DC2819">
              <w:rPr>
                <w:rFonts w:eastAsiaTheme="minorEastAsia"/>
              </w:rPr>
              <w:t xml:space="preserve"> procjene rizika kućne vodoopskrbne mreže </w:t>
            </w:r>
            <w:r w:rsidR="003F17CB" w:rsidRPr="00DC2819">
              <w:rPr>
                <w:rFonts w:eastAsiaTheme="minorEastAsia"/>
              </w:rPr>
              <w:t xml:space="preserve">kod </w:t>
            </w:r>
            <w:r w:rsidR="006137C1" w:rsidRPr="00DC2819">
              <w:rPr>
                <w:rFonts w:eastAsiaTheme="minorEastAsia"/>
              </w:rPr>
              <w:t>prioritetnih objekata</w:t>
            </w:r>
            <w:r w:rsidR="003939BB" w:rsidRPr="00DC2819">
              <w:rPr>
                <w:rFonts w:eastAsiaTheme="minorEastAsia"/>
              </w:rPr>
              <w:t xml:space="preserve"> a</w:t>
            </w:r>
            <w:r w:rsidR="006137C1" w:rsidRPr="00DC2819">
              <w:rPr>
                <w:rFonts w:eastAsiaTheme="minorEastAsia"/>
              </w:rPr>
              <w:t xml:space="preserve"> </w:t>
            </w:r>
            <w:r w:rsidR="003F17CB" w:rsidRPr="00DC2819">
              <w:rPr>
                <w:rFonts w:eastAsiaTheme="minorEastAsia"/>
              </w:rPr>
              <w:t xml:space="preserve">što uključuje </w:t>
            </w:r>
            <w:r w:rsidR="006137C1" w:rsidRPr="00DC2819">
              <w:rPr>
                <w:rFonts w:eastAsiaTheme="minorEastAsia"/>
              </w:rPr>
              <w:t xml:space="preserve">uvođenja </w:t>
            </w:r>
            <w:r w:rsidR="003939BB" w:rsidRPr="00DC2819">
              <w:rPr>
                <w:rFonts w:eastAsiaTheme="minorEastAsia"/>
              </w:rPr>
              <w:t xml:space="preserve">dodatnih </w:t>
            </w:r>
            <w:r w:rsidR="006137C1" w:rsidRPr="00DC2819">
              <w:rPr>
                <w:rFonts w:eastAsiaTheme="minorEastAsia"/>
              </w:rPr>
              <w:t xml:space="preserve">novih parametara </w:t>
            </w:r>
            <w:r w:rsidR="003939BB" w:rsidRPr="00DC2819">
              <w:rPr>
                <w:rFonts w:eastAsiaTheme="minorEastAsia"/>
              </w:rPr>
              <w:t xml:space="preserve">za monitoriranje </w:t>
            </w:r>
            <w:r w:rsidR="006137C1" w:rsidRPr="00DC2819">
              <w:rPr>
                <w:rFonts w:eastAsiaTheme="minorEastAsia"/>
              </w:rPr>
              <w:t xml:space="preserve">u istome </w:t>
            </w:r>
            <w:r w:rsidR="003F17CB" w:rsidRPr="00DC2819">
              <w:rPr>
                <w:rFonts w:eastAsiaTheme="minorEastAsia"/>
              </w:rPr>
              <w:t xml:space="preserve">u vidu </w:t>
            </w:r>
            <w:r w:rsidR="003F17CB" w:rsidRPr="00DC2819">
              <w:rPr>
                <w:rFonts w:eastAsiaTheme="minorEastAsia"/>
                <w:i/>
              </w:rPr>
              <w:t>L</w:t>
            </w:r>
            <w:r w:rsidR="006137C1" w:rsidRPr="00DC2819">
              <w:rPr>
                <w:rFonts w:eastAsiaTheme="minorEastAsia"/>
                <w:i/>
              </w:rPr>
              <w:t xml:space="preserve">egionelle </w:t>
            </w:r>
            <w:r w:rsidR="003F17CB" w:rsidRPr="00DC2819">
              <w:rPr>
                <w:rFonts w:eastAsiaTheme="minorEastAsia"/>
              </w:rPr>
              <w:t xml:space="preserve">i olova u narednim godinama </w:t>
            </w:r>
            <w:r w:rsidR="003939BB" w:rsidRPr="00DC2819">
              <w:rPr>
                <w:rFonts w:eastAsiaTheme="minorEastAsia"/>
              </w:rPr>
              <w:t xml:space="preserve">možda će porasti potreba za osiguranje </w:t>
            </w:r>
            <w:r w:rsidR="003F17CB" w:rsidRPr="00DC2819">
              <w:rPr>
                <w:rFonts w:eastAsiaTheme="minorEastAsia"/>
              </w:rPr>
              <w:t>dodatnih investicija zbog potreba saniranja postojećih instalacija ili uvođenja novih</w:t>
            </w:r>
            <w:r w:rsidR="003939BB" w:rsidRPr="00DC2819">
              <w:rPr>
                <w:rFonts w:eastAsiaTheme="minorEastAsia"/>
              </w:rPr>
              <w:t xml:space="preserve"> instalacija</w:t>
            </w:r>
            <w:r w:rsidR="003F17CB" w:rsidRPr="00DC2819">
              <w:rPr>
                <w:rFonts w:eastAsiaTheme="minorEastAsia"/>
              </w:rPr>
              <w:t xml:space="preserve">. </w:t>
            </w:r>
            <w:r w:rsidR="003939BB" w:rsidRPr="00DC2819">
              <w:rPr>
                <w:rFonts w:eastAsiaTheme="minorEastAsia"/>
              </w:rPr>
              <w:t xml:space="preserve">Uvođenjem obveze u vidu promidžbe i osposobljavanja vodoinstalatera i drugih djelatnika </w:t>
            </w:r>
            <w:r w:rsidR="007B69CC" w:rsidRPr="00DC2819">
              <w:rPr>
                <w:rFonts w:eastAsiaTheme="minorEastAsia"/>
              </w:rPr>
              <w:t>koji rade</w:t>
            </w:r>
            <w:r w:rsidR="003939BB" w:rsidRPr="00DC2819">
              <w:rPr>
                <w:rFonts w:eastAsiaTheme="minorEastAsia"/>
              </w:rPr>
              <w:t xml:space="preserve"> s kućnim vodoopskrbnim mrežama i ugrađuju građevne proizvode i materijale koji dolaze u dodir s vodom  namijenjenom za ljudsku potrošnju utjecati će na unificiranost u postupanju odnosno radu imenovanih sa ciljem zaštite zdravlja ljudi od štetnih učinaka bilo uslijed korištenja ne ade</w:t>
            </w:r>
            <w:r w:rsidR="007B69CC" w:rsidRPr="00DC2819">
              <w:rPr>
                <w:rFonts w:eastAsiaTheme="minorEastAsia"/>
              </w:rPr>
              <w:t>kvatnih</w:t>
            </w:r>
            <w:r w:rsidR="003939BB" w:rsidRPr="00DC2819">
              <w:rPr>
                <w:rFonts w:eastAsiaTheme="minorEastAsia"/>
              </w:rPr>
              <w:t xml:space="preserve"> vodovodnih </w:t>
            </w:r>
            <w:r w:rsidR="007B69CC" w:rsidRPr="00DC2819">
              <w:rPr>
                <w:rFonts w:eastAsiaTheme="minorEastAsia"/>
              </w:rPr>
              <w:t xml:space="preserve">cijevi, opreme ili održavanja postojećih vodovodnih sustava. </w:t>
            </w:r>
            <w:r w:rsidR="007B69CC" w:rsidRPr="00DC2819">
              <w:rPr>
                <w:color w:val="000000"/>
                <w:szCs w:val="24"/>
              </w:rPr>
              <w:t>uspostavom ekonomičnijeg i učinkovitijeg sustav monitoriranja /praćenja kvalitete vod</w:t>
            </w:r>
            <w:r w:rsidR="003D3182" w:rsidRPr="00DC2819">
              <w:rPr>
                <w:color w:val="000000"/>
                <w:szCs w:val="24"/>
              </w:rPr>
              <w:t>e</w:t>
            </w:r>
            <w:r w:rsidR="007B69CC" w:rsidRPr="00DC2819">
              <w:rPr>
                <w:color w:val="000000"/>
                <w:szCs w:val="24"/>
              </w:rPr>
              <w:t xml:space="preserve">  namijenjene za ljudsku potrošnju. Ovim nacrtom prijedloga Zakona poboljšat će se učinkovitost vodne</w:t>
            </w:r>
            <w:r w:rsidR="007B69CC" w:rsidRPr="008B305A">
              <w:rPr>
                <w:color w:val="000000"/>
                <w:szCs w:val="24"/>
              </w:rPr>
              <w:t xml:space="preserve"> </w:t>
            </w:r>
            <w:r w:rsidR="007B69CC" w:rsidRPr="00DC2819">
              <w:rPr>
                <w:color w:val="000000"/>
                <w:szCs w:val="24"/>
              </w:rPr>
              <w:t>infrastrukture izbjegavanjem iskorištavanja ograničenih resursa vode za ljudsku potrošnju</w:t>
            </w:r>
            <w:r w:rsidR="007B69CC" w:rsidRPr="008B305A">
              <w:rPr>
                <w:color w:val="000000"/>
                <w:szCs w:val="24"/>
              </w:rPr>
              <w:t>.</w:t>
            </w:r>
          </w:p>
          <w:p w:rsidR="00055680" w:rsidRPr="0097347E" w:rsidRDefault="00055680">
            <w:pPr>
              <w:jc w:val="both"/>
              <w:rPr>
                <w:i/>
              </w:rPr>
            </w:pPr>
          </w:p>
        </w:tc>
      </w:tr>
      <w:tr w:rsidR="00055680" w:rsidRPr="0097347E" w:rsidTr="007C137B">
        <w:tc>
          <w:tcPr>
            <w:tcW w:w="851" w:type="dxa"/>
          </w:tcPr>
          <w:p w:rsidR="00055680" w:rsidRPr="0097347E" w:rsidRDefault="00055680" w:rsidP="00EF4A24">
            <w:r w:rsidRPr="0097347E">
              <w:lastRenderedPageBreak/>
              <w:t>3.2.</w:t>
            </w:r>
          </w:p>
        </w:tc>
        <w:tc>
          <w:tcPr>
            <w:tcW w:w="9072" w:type="dxa"/>
            <w:gridSpan w:val="3"/>
          </w:tcPr>
          <w:p w:rsidR="00055680" w:rsidRPr="0097347E" w:rsidRDefault="00055680" w:rsidP="00EF4A24">
            <w:pPr>
              <w:rPr>
                <w:b/>
              </w:rPr>
            </w:pPr>
            <w:r w:rsidRPr="0097347E">
              <w:rPr>
                <w:b/>
              </w:rPr>
              <w:t>Analiza učinaka na zaštitu tržišnog natjecanja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t>Provedbom prethodne procjene utvrđeni</w:t>
            </w:r>
            <w:r w:rsidR="00F33F8A">
              <w:t xml:space="preserve"> su</w:t>
            </w:r>
            <w:r w:rsidRPr="0097347E">
              <w:t xml:space="preserve"> značajni učinci koji </w:t>
            </w:r>
            <w:r w:rsidR="00F33F8A">
              <w:t>će</w:t>
            </w:r>
            <w:r w:rsidR="008B305A">
              <w:t xml:space="preserve"> </w:t>
            </w:r>
            <w:r w:rsidRPr="0097347E">
              <w:t>zahtijeva</w:t>
            </w:r>
            <w:r w:rsidR="00F33F8A">
              <w:t xml:space="preserve">ti </w:t>
            </w:r>
            <w:r w:rsidRPr="0097347E">
              <w:t xml:space="preserve"> daljnju analizu u postupku procjene učinaka propisa.</w:t>
            </w:r>
          </w:p>
          <w:p w:rsidR="00055680" w:rsidRPr="0097347E" w:rsidRDefault="00055680" w:rsidP="00EF4A24">
            <w:pPr>
              <w:rPr>
                <w:i/>
              </w:rPr>
            </w:pPr>
          </w:p>
          <w:p w:rsidR="00055680" w:rsidRPr="0097347E" w:rsidRDefault="00055680" w:rsidP="00EF4A24">
            <w:pPr>
              <w:jc w:val="both"/>
              <w:rPr>
                <w:b/>
              </w:rPr>
            </w:pPr>
            <w:r w:rsidRPr="0097347E">
              <w:rPr>
                <w:i/>
              </w:rPr>
              <w:t xml:space="preserve"> </w:t>
            </w:r>
          </w:p>
        </w:tc>
      </w:tr>
      <w:tr w:rsidR="00055680" w:rsidRPr="0097347E" w:rsidTr="007C137B">
        <w:tc>
          <w:tcPr>
            <w:tcW w:w="851" w:type="dxa"/>
          </w:tcPr>
          <w:p w:rsidR="00055680" w:rsidRPr="0097347E" w:rsidRDefault="00055680" w:rsidP="00EF4A24">
            <w:r w:rsidRPr="0097347E">
              <w:t>3.3.</w:t>
            </w:r>
          </w:p>
        </w:tc>
        <w:tc>
          <w:tcPr>
            <w:tcW w:w="9072" w:type="dxa"/>
            <w:gridSpan w:val="3"/>
          </w:tcPr>
          <w:p w:rsidR="00055680" w:rsidRPr="0097347E" w:rsidRDefault="00055680" w:rsidP="00EF4A24">
            <w:r w:rsidRPr="0097347E">
              <w:rPr>
                <w:b/>
              </w:rPr>
              <w:t>Analiza socijalnih učinaka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t>Provedbom prethodne procjene utvrđeni</w:t>
            </w:r>
            <w:r w:rsidR="009A39D4">
              <w:t xml:space="preserve"> su</w:t>
            </w:r>
            <w:r w:rsidRPr="0097347E">
              <w:t xml:space="preserve"> značajni učinci koji </w:t>
            </w:r>
            <w:r w:rsidR="009A39D4">
              <w:t xml:space="preserve">će </w:t>
            </w:r>
            <w:r w:rsidRPr="0097347E">
              <w:t>zahtijevali daljnju analizu u postupku procjene učinaka propisa.</w:t>
            </w:r>
          </w:p>
          <w:p w:rsidR="00055680" w:rsidRPr="0097347E" w:rsidRDefault="00055680" w:rsidP="00EF4A24">
            <w:pPr>
              <w:rPr>
                <w:i/>
              </w:rPr>
            </w:pPr>
          </w:p>
          <w:p w:rsidR="00055680" w:rsidRPr="0097347E" w:rsidRDefault="00055680" w:rsidP="00EF4A24">
            <w:pPr>
              <w:jc w:val="both"/>
              <w:rPr>
                <w:i/>
              </w:rPr>
            </w:pPr>
            <w:r w:rsidRPr="0097347E">
              <w:rPr>
                <w:i/>
              </w:rPr>
              <w:t xml:space="preserve"> </w:t>
            </w:r>
          </w:p>
        </w:tc>
      </w:tr>
      <w:tr w:rsidR="00055680" w:rsidRPr="0097347E" w:rsidTr="007C137B">
        <w:tc>
          <w:tcPr>
            <w:tcW w:w="851" w:type="dxa"/>
          </w:tcPr>
          <w:p w:rsidR="00055680" w:rsidRPr="0097347E" w:rsidRDefault="00055680" w:rsidP="00EF4A24">
            <w:r w:rsidRPr="0097347E">
              <w:t>3.4.</w:t>
            </w:r>
          </w:p>
        </w:tc>
        <w:tc>
          <w:tcPr>
            <w:tcW w:w="9072" w:type="dxa"/>
            <w:gridSpan w:val="3"/>
          </w:tcPr>
          <w:p w:rsidR="00055680" w:rsidRPr="0097347E" w:rsidRDefault="00055680" w:rsidP="00EF4A24">
            <w:pPr>
              <w:rPr>
                <w:b/>
              </w:rPr>
            </w:pPr>
            <w:r w:rsidRPr="0097347E">
              <w:rPr>
                <w:b/>
              </w:rPr>
              <w:t>Analiza učinaka na rad i tržište rada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 xml:space="preserve"> </w:t>
            </w:r>
            <w:r w:rsidRPr="0097347E">
              <w:t xml:space="preserve">Provedbom prethodne procjene utvrđeni </w:t>
            </w:r>
            <w:r w:rsidR="00E86545">
              <w:t xml:space="preserve">su </w:t>
            </w:r>
            <w:r w:rsidRPr="0097347E">
              <w:t xml:space="preserve">značajni učinci koji </w:t>
            </w:r>
            <w:r w:rsidR="00E86545">
              <w:t xml:space="preserve"> će </w:t>
            </w:r>
            <w:r w:rsidRPr="0097347E">
              <w:t>zahtijeva</w:t>
            </w:r>
            <w:r w:rsidR="00E86545">
              <w:t>ti</w:t>
            </w:r>
            <w:r w:rsidRPr="0097347E">
              <w:t xml:space="preserve"> daljnju analizu u postupku procjene učinaka propisa.</w:t>
            </w:r>
          </w:p>
          <w:p w:rsidR="00055680" w:rsidRPr="0097347E" w:rsidRDefault="00055680" w:rsidP="00EF4A24">
            <w:pPr>
              <w:rPr>
                <w:i/>
              </w:rPr>
            </w:pPr>
          </w:p>
          <w:p w:rsidR="00055680" w:rsidRPr="0097347E" w:rsidRDefault="00055680" w:rsidP="00EF4A24">
            <w:pPr>
              <w:jc w:val="both"/>
              <w:rPr>
                <w:i/>
              </w:rPr>
            </w:pPr>
            <w:r w:rsidRPr="0097347E">
              <w:t xml:space="preserve"> </w:t>
            </w:r>
          </w:p>
        </w:tc>
      </w:tr>
      <w:tr w:rsidR="00055680" w:rsidRPr="0097347E" w:rsidTr="007C137B">
        <w:tc>
          <w:tcPr>
            <w:tcW w:w="851" w:type="dxa"/>
          </w:tcPr>
          <w:p w:rsidR="00055680" w:rsidRPr="0097347E" w:rsidRDefault="00055680" w:rsidP="00EF4A24">
            <w:r w:rsidRPr="0097347E">
              <w:t>3.5.</w:t>
            </w:r>
          </w:p>
        </w:tc>
        <w:tc>
          <w:tcPr>
            <w:tcW w:w="9072" w:type="dxa"/>
            <w:gridSpan w:val="3"/>
          </w:tcPr>
          <w:p w:rsidR="00055680" w:rsidRPr="0097347E" w:rsidRDefault="00055680" w:rsidP="00EF4A24">
            <w:pPr>
              <w:rPr>
                <w:b/>
              </w:rPr>
            </w:pPr>
            <w:r w:rsidRPr="0097347E">
              <w:rPr>
                <w:b/>
              </w:rPr>
              <w:t>Analiza učinaka na zaštitu okoliša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B57B05" w:rsidRPr="002A5CDC" w:rsidRDefault="00B57B05" w:rsidP="00B57B05">
            <w:pPr>
              <w:shd w:val="clear" w:color="auto" w:fill="FFFFFF" w:themeFill="background1"/>
              <w:jc w:val="both"/>
              <w:rPr>
                <w:szCs w:val="24"/>
              </w:rPr>
            </w:pPr>
            <w:r w:rsidRPr="002A5CDC">
              <w:t xml:space="preserve">Transponiranjem odredaba Direktive (EU) 2020/2184 u nacionalno zakonodavstvo u vidu ovog nacrta prijedloga zakona uspostaviti će se pravni temelj za donošenje akta kojim će se poboljšati pristup vodi temeljen na riziku te unaprijediti sustav </w:t>
            </w:r>
            <w:r w:rsidRPr="002A5CDC">
              <w:rPr>
                <w:szCs w:val="24"/>
              </w:rPr>
              <w:t xml:space="preserve">procjene rizika za područja sliva za vodozahvate vode za ljudsku potrošnju s ciljem utvrđivanja mogućih rizika i potencijalnih opasnosti koji mogu uslijed neprimjerenih aktivnosti obrade potrebne za proizvodnju vode namijenjene za ljudsku potrošnju, ekstremnih vremenskih prilika i klimatskih promjena narušiti kvalitetu vode i time neposredno utjecati kako na okoliš  tako i na zdravlje krajnjih potrošača/stanovništva RH. </w:t>
            </w:r>
          </w:p>
          <w:p w:rsidR="00055680" w:rsidRPr="0097347E" w:rsidRDefault="00B57B05" w:rsidP="00B57B05">
            <w:pPr>
              <w:jc w:val="both"/>
              <w:rPr>
                <w:i/>
              </w:rPr>
            </w:pPr>
            <w:r w:rsidRPr="002A5CDC">
              <w:rPr>
                <w:szCs w:val="24"/>
              </w:rPr>
              <w:t xml:space="preserve">Odredbama prijedloga ovog Zakona definirati će se uvjeti za korištenje kemikalija za obradu vode te medije za filtriranje  s ciljem zaštite okoliša i  neposredno zdravlja ljudi. </w:t>
            </w:r>
            <w:r w:rsidRPr="002A5CDC">
              <w:rPr>
                <w:color w:val="000000"/>
                <w:szCs w:val="24"/>
              </w:rPr>
              <w:t>Odredbama cjelokupnog prijedloga Zakona želi se uspostaviti unificirani kontrolni sustav u području vodoopskrbe vode namijenjene za ljudsku potrošnju koji će zaštiti sve dionike do krajnjeg potrošača u području osiguranja zdravstveno ispravne i čiste vode s ciljem zaštite zdravlja ljudi, životinja, biljaka i zaštite okoliša od bilo kakvih štetnih učinaka na iste.</w:t>
            </w:r>
            <w:r w:rsidRPr="002A5CDC">
              <w:rPr>
                <w:szCs w:val="24"/>
              </w:rPr>
              <w:t xml:space="preserve"> </w:t>
            </w:r>
            <w:r w:rsidRPr="002A5CDC">
              <w:rPr>
                <w:color w:val="000000"/>
                <w:szCs w:val="24"/>
              </w:rPr>
              <w:t>Ujedno će se poboljšati učinkovitost vodne infrastrukture izbjegavanjem iskorištavanja ograničenih resursa vode za ljudsku potrošnju.“</w:t>
            </w:r>
          </w:p>
        </w:tc>
      </w:tr>
      <w:tr w:rsidR="00055680" w:rsidRPr="0097347E" w:rsidTr="007C137B">
        <w:tc>
          <w:tcPr>
            <w:tcW w:w="851" w:type="dxa"/>
          </w:tcPr>
          <w:p w:rsidR="00055680" w:rsidRPr="0097347E" w:rsidRDefault="00055680" w:rsidP="00EF4A24">
            <w:r w:rsidRPr="0097347E">
              <w:t>3.6.</w:t>
            </w:r>
          </w:p>
        </w:tc>
        <w:tc>
          <w:tcPr>
            <w:tcW w:w="9072" w:type="dxa"/>
            <w:gridSpan w:val="3"/>
          </w:tcPr>
          <w:p w:rsidR="00055680" w:rsidRPr="0097347E" w:rsidRDefault="00055680" w:rsidP="00EF4A24">
            <w:pPr>
              <w:rPr>
                <w:b/>
              </w:rPr>
            </w:pPr>
            <w:r w:rsidRPr="0097347E">
              <w:rPr>
                <w:b/>
              </w:rPr>
              <w:t>Analiza učinaka na zaštitu ljudskih prava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F054DB" w:rsidRDefault="00055680" w:rsidP="00F054DB">
            <w:pPr>
              <w:jc w:val="both"/>
              <w:rPr>
                <w:szCs w:val="24"/>
              </w:rPr>
            </w:pPr>
            <w:r w:rsidRPr="0097347E">
              <w:rPr>
                <w:i/>
              </w:rPr>
              <w:t xml:space="preserve"> </w:t>
            </w:r>
            <w:r w:rsidRPr="0097347E">
              <w:t>Provedbom prethodne procjene nisu utvrđeni učinci koji bi zahtijevali daljnju analizu u postupku procjene učinaka propisa.</w:t>
            </w:r>
            <w:r w:rsidR="00F054DB">
              <w:rPr>
                <w:szCs w:val="24"/>
              </w:rPr>
              <w:t xml:space="preserve"> </w:t>
            </w:r>
          </w:p>
          <w:p w:rsidR="00F054DB" w:rsidRDefault="00F054DB" w:rsidP="007B69CC">
            <w:pPr>
              <w:shd w:val="clear" w:color="auto" w:fill="FFFFFF" w:themeFill="background1"/>
              <w:jc w:val="both"/>
              <w:rPr>
                <w:szCs w:val="24"/>
              </w:rPr>
            </w:pPr>
          </w:p>
          <w:p w:rsidR="00055680" w:rsidRPr="0097347E" w:rsidRDefault="00055680" w:rsidP="006946C3">
            <w:pPr>
              <w:jc w:val="both"/>
              <w:rPr>
                <w:i/>
              </w:rPr>
            </w:pPr>
          </w:p>
        </w:tc>
      </w:tr>
      <w:tr w:rsidR="00055680" w:rsidRPr="0097347E" w:rsidTr="007C137B">
        <w:tc>
          <w:tcPr>
            <w:tcW w:w="851" w:type="dxa"/>
          </w:tcPr>
          <w:p w:rsidR="00055680" w:rsidRPr="0097347E" w:rsidRDefault="00055680" w:rsidP="00EF4A24">
            <w:r w:rsidRPr="0097347E">
              <w:t>4.</w:t>
            </w:r>
          </w:p>
        </w:tc>
        <w:tc>
          <w:tcPr>
            <w:tcW w:w="9072" w:type="dxa"/>
            <w:gridSpan w:val="3"/>
          </w:tcPr>
          <w:p w:rsidR="00055680" w:rsidRPr="0097347E" w:rsidRDefault="00055680" w:rsidP="00EF4A24">
            <w:pPr>
              <w:rPr>
                <w:b/>
              </w:rPr>
            </w:pPr>
            <w:r w:rsidRPr="0097347E">
              <w:rPr>
                <w:b/>
              </w:rPr>
              <w:t>TEST MALOG I SREDNJEG PODUZETNIŠTVA (MSP TEST)</w:t>
            </w:r>
          </w:p>
          <w:p w:rsidR="00055680" w:rsidRPr="0097347E" w:rsidRDefault="00055680" w:rsidP="00EF4A24">
            <w:pPr>
              <w:jc w:val="both"/>
            </w:pPr>
            <w:r w:rsidRPr="0097347E">
              <w:t>MSP testom ocjenjuju se gospodarski učinci nacrta prijedloga zakona na male i srednje poduzetnike, ako je provedbom Prethodnog MSP testa u okviru Prethodne procjene utvrđena obveza provedbe učinaka propisa na malo gospodarstvo i izrada MSP testa.</w:t>
            </w:r>
          </w:p>
          <w:p w:rsidR="00055680" w:rsidRPr="0097347E" w:rsidRDefault="00055680" w:rsidP="00EF4A24">
            <w:pPr>
              <w:jc w:val="both"/>
            </w:pPr>
            <w:r w:rsidRPr="0097347E">
              <w:t>Pri odlučivanju o kvaliteti izrade MSP testa isključivo je mjerodavno mišljenje tijela nadležnog za njihovo provođenje sukladno Zakonu o procjeni učinaka propisa ("Narodne novine"</w:t>
            </w:r>
            <w:r w:rsidR="00822432">
              <w:t xml:space="preserve"> </w:t>
            </w:r>
            <w:r w:rsidRPr="0097347E">
              <w:t>broj 44/17).</w:t>
            </w:r>
          </w:p>
        </w:tc>
      </w:tr>
      <w:tr w:rsidR="00055680" w:rsidRPr="0097347E" w:rsidTr="007C137B">
        <w:tc>
          <w:tcPr>
            <w:tcW w:w="851" w:type="dxa"/>
          </w:tcPr>
          <w:p w:rsidR="00055680" w:rsidRPr="0097347E" w:rsidRDefault="00055680" w:rsidP="00EF4A24">
            <w:r w:rsidRPr="0097347E">
              <w:t>4.1.</w:t>
            </w:r>
          </w:p>
        </w:tc>
        <w:tc>
          <w:tcPr>
            <w:tcW w:w="9072" w:type="dxa"/>
            <w:gridSpan w:val="3"/>
          </w:tcPr>
          <w:p w:rsidR="00055680" w:rsidRPr="0097347E" w:rsidRDefault="00055680" w:rsidP="00EF4A24">
            <w:pPr>
              <w:rPr>
                <w:b/>
              </w:rPr>
            </w:pPr>
            <w:r w:rsidRPr="0097347E">
              <w:rPr>
                <w:b/>
              </w:rPr>
              <w:t>Moguće opcije javnih politika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spacing w:after="60"/>
              <w:jc w:val="both"/>
              <w:rPr>
                <w:rFonts w:eastAsia="Times New Roman"/>
                <w:szCs w:val="24"/>
              </w:rPr>
            </w:pP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OPCIJE ZA MSP TEST</w:t>
            </w:r>
          </w:p>
          <w:p w:rsidR="00166D5B" w:rsidRDefault="00055680" w:rsidP="00EF4A24">
            <w:pPr>
              <w:widowControl w:val="0"/>
              <w:autoSpaceDE w:val="0"/>
              <w:spacing w:after="60"/>
              <w:jc w:val="both"/>
              <w:rPr>
                <w:rFonts w:eastAsia="Times New Roman"/>
                <w:szCs w:val="24"/>
              </w:rPr>
            </w:pPr>
            <w:r w:rsidRPr="0097347E">
              <w:rPr>
                <w:rFonts w:eastAsia="Times New Roman"/>
                <w:szCs w:val="24"/>
              </w:rPr>
              <w:t>4.1.1. Opcija 1. (nenormativno rješenje) »Ne poduzimati ništa«</w:t>
            </w:r>
          </w:p>
          <w:p w:rsidR="005F73F4" w:rsidRPr="0097347E" w:rsidRDefault="005F73F4" w:rsidP="00EF4A24">
            <w:pPr>
              <w:widowControl w:val="0"/>
              <w:autoSpaceDE w:val="0"/>
              <w:spacing w:after="60"/>
              <w:jc w:val="both"/>
              <w:rPr>
                <w:rFonts w:eastAsia="Times New Roman"/>
                <w:szCs w:val="24"/>
              </w:rPr>
            </w:pPr>
            <w:r w:rsidRPr="008041C0">
              <w:rPr>
                <w:rFonts w:eastAsia="Times New Roman"/>
                <w:szCs w:val="24"/>
              </w:rPr>
              <w:t xml:space="preserve">Zadržavanjem postojećeg stanja došlo bi do povrede Europskog prava jer su države članice Europske unije samim time i Republika Hrvatska u obvezi transponirati odredbe nove Direktive (EU) </w:t>
            </w:r>
            <w:r w:rsidRPr="008041C0">
              <w:rPr>
                <w:rFonts w:eastAsiaTheme="minorEastAsia"/>
              </w:rPr>
              <w:t>Direktiva (</w:t>
            </w:r>
            <w:r w:rsidRPr="008041C0">
              <w:rPr>
                <w:bCs/>
              </w:rPr>
              <w:t>EU) 2020/2184</w:t>
            </w:r>
            <w:r w:rsidRPr="008041C0">
              <w:rPr>
                <w:rFonts w:eastAsia="Times New Roman"/>
                <w:szCs w:val="24"/>
              </w:rPr>
              <w:t xml:space="preserve"> u svoje zakonodavstvo</w:t>
            </w:r>
            <w:r w:rsidRPr="008041C0">
              <w:rPr>
                <w:bCs/>
              </w:rPr>
              <w:t xml:space="preserve">. Odredbe </w:t>
            </w:r>
            <w:r w:rsidRPr="008041C0">
              <w:rPr>
                <w:rFonts w:eastAsiaTheme="minorEastAsia"/>
              </w:rPr>
              <w:t>Direktiva (</w:t>
            </w:r>
            <w:r w:rsidRPr="008041C0">
              <w:rPr>
                <w:bCs/>
              </w:rPr>
              <w:t>EU) 2020/2184</w:t>
            </w:r>
            <w:r w:rsidRPr="008041C0">
              <w:rPr>
                <w:rFonts w:eastAsia="Times New Roman"/>
                <w:szCs w:val="24"/>
              </w:rPr>
              <w:t xml:space="preserve"> potrebno je transponirati i </w:t>
            </w:r>
            <w:r w:rsidRPr="008041C0">
              <w:rPr>
                <w:bCs/>
              </w:rPr>
              <w:t>implementirani u zakonodavstvo Republike Hrvatske u području vode za ljudsku potrošnju do 12. siječnja 2023. godine. Obzirom na veći broj izmjena postojećeg zakonskog prijedloga te odredbe novog zakonodavstva</w:t>
            </w:r>
            <w:r>
              <w:rPr>
                <w:bCs/>
              </w:rPr>
              <w:t xml:space="preserve"> </w:t>
            </w:r>
            <w:r w:rsidRPr="008041C0">
              <w:rPr>
                <w:bCs/>
              </w:rPr>
              <w:t>Europske unije u području vode za ljudsku potrošnju koje će se od 12.siječnja 2023. godine odnositi na sve subjekte koji isporučuju vodu namijenjenu za ljudsku potrošnju što do sada nije slučaj , te što se uvodi jedan novi pristup sigurnosti vode koji obuhvaća i procjenu rizika, sliva, procjenu rizika vodoopskrbnih sust</w:t>
            </w:r>
            <w:r>
              <w:rPr>
                <w:bCs/>
              </w:rPr>
              <w:t>a</w:t>
            </w:r>
            <w:r w:rsidRPr="008041C0">
              <w:rPr>
                <w:bCs/>
              </w:rPr>
              <w:t>va i što je novo procjenu rizika vodoopskrbnih sustava , t</w:t>
            </w:r>
            <w:r w:rsidRPr="00C017F5">
              <w:rPr>
                <w:bCs/>
              </w:rPr>
              <w:t>e drugačiji način monitoriranja</w:t>
            </w:r>
            <w:r w:rsidRPr="008041C0">
              <w:rPr>
                <w:bCs/>
              </w:rPr>
              <w:t xml:space="preserve"> u odn</w:t>
            </w:r>
            <w:r w:rsidRPr="00C017F5">
              <w:rPr>
                <w:bCs/>
              </w:rPr>
              <w:t>os na postojeći način monitori</w:t>
            </w:r>
            <w:r w:rsidRPr="008041C0">
              <w:rPr>
                <w:bCs/>
              </w:rPr>
              <w:t>ranja parametara sukladnosti po pitanju zdravstvene ispravnosti vode namijenjene za ljudsku potrošnju te radi uvođenja novih parametra s Europske liste parame</w:t>
            </w:r>
            <w:r>
              <w:rPr>
                <w:bCs/>
              </w:rPr>
              <w:t>t</w:t>
            </w:r>
            <w:r w:rsidRPr="00C017F5">
              <w:rPr>
                <w:bCs/>
              </w:rPr>
              <w:t>a</w:t>
            </w:r>
            <w:r w:rsidRPr="008041C0">
              <w:rPr>
                <w:bCs/>
              </w:rPr>
              <w:t>ra kao što su mikroplas</w:t>
            </w:r>
            <w:r>
              <w:rPr>
                <w:bCs/>
              </w:rPr>
              <w:t>t</w:t>
            </w:r>
            <w:r w:rsidRPr="00C017F5">
              <w:rPr>
                <w:bCs/>
              </w:rPr>
              <w:t xml:space="preserve">ika i endokrini disruptori, </w:t>
            </w:r>
            <w:r w:rsidRPr="008041C0">
              <w:rPr>
                <w:bCs/>
              </w:rPr>
              <w:t>z</w:t>
            </w:r>
            <w:r w:rsidRPr="00C017F5">
              <w:rPr>
                <w:bCs/>
              </w:rPr>
              <w:t>bog uspostave minimalnih higije</w:t>
            </w:r>
            <w:r w:rsidRPr="008041C0">
              <w:rPr>
                <w:bCs/>
              </w:rPr>
              <w:t>n</w:t>
            </w:r>
            <w:r>
              <w:rPr>
                <w:bCs/>
              </w:rPr>
              <w:t>s</w:t>
            </w:r>
            <w:r w:rsidRPr="008041C0">
              <w:rPr>
                <w:bCs/>
              </w:rPr>
              <w:t>kih zahtjeva koje moraju ispunjavati u budućnosti materijali koji dolaze u nep</w:t>
            </w:r>
            <w:r w:rsidRPr="00C017F5">
              <w:rPr>
                <w:bCs/>
              </w:rPr>
              <w:t>osredan dodir s vodom namijenjen</w:t>
            </w:r>
            <w:r w:rsidRPr="008041C0">
              <w:rPr>
                <w:bCs/>
              </w:rPr>
              <w:t xml:space="preserve">om za </w:t>
            </w:r>
            <w:r w:rsidRPr="00C017F5">
              <w:rPr>
                <w:bCs/>
              </w:rPr>
              <w:t>ljudsku potrošnju kao i i kemika</w:t>
            </w:r>
            <w:r w:rsidRPr="008041C0">
              <w:rPr>
                <w:bCs/>
              </w:rPr>
              <w:t>lije za obradu i mediji za filtriranje potrebno je radi lakše sljedivosti i transpare</w:t>
            </w:r>
            <w:r>
              <w:rPr>
                <w:bCs/>
              </w:rPr>
              <w:t>n</w:t>
            </w:r>
            <w:r w:rsidRPr="008041C0">
              <w:rPr>
                <w:bCs/>
              </w:rPr>
              <w:t>tnosti među svim dionicima donijeti novi Zakon o vodi za ljudsku potrošnju</w:t>
            </w:r>
          </w:p>
          <w:p w:rsidR="00166D5B" w:rsidRDefault="00055680" w:rsidP="00EF4A24">
            <w:pPr>
              <w:widowControl w:val="0"/>
              <w:autoSpaceDE w:val="0"/>
              <w:spacing w:after="60"/>
              <w:jc w:val="both"/>
              <w:rPr>
                <w:rFonts w:eastAsia="Times New Roman"/>
                <w:szCs w:val="24"/>
              </w:rPr>
            </w:pPr>
            <w:r w:rsidRPr="0097347E">
              <w:rPr>
                <w:rFonts w:eastAsia="Times New Roman"/>
                <w:szCs w:val="24"/>
              </w:rPr>
              <w:t>4.1.2. Opcija 2. (nenormativno rješenje) »Poduzimati nenormativne aktivnosti«</w:t>
            </w:r>
          </w:p>
          <w:p w:rsidR="005F73F4" w:rsidRPr="00DC2819" w:rsidRDefault="005F73F4" w:rsidP="005F73F4">
            <w:pPr>
              <w:jc w:val="both"/>
              <w:rPr>
                <w:rFonts w:eastAsia="Times New Roman"/>
                <w:szCs w:val="24"/>
              </w:rPr>
            </w:pPr>
            <w:r w:rsidRPr="00DC2819">
              <w:rPr>
                <w:rFonts w:eastAsia="Times New Roman"/>
                <w:szCs w:val="24"/>
              </w:rPr>
              <w:t xml:space="preserve">Primjena nenormativnih rješenja (npr. osiguravanje potpunog pristupa vodi, provođenje operativnog i istraživačkog monitoringa, provođenje procjene rizika kod prioritetnih objekata, uspostva higijenskih zahtjevaza materijale koji dolaze u neposredan dodir s vodom namijenjemom za ljudsku potrošnju,), bez intervencije zakonodavca, neće dovesti do rješavanja postavljenog problema i ostvarivanja planiranih ciljeva, s  obzirom da bi nenormativna  rješenja mogla dovesti do velikog nerazmjera u provođenju te u interpretacije podataka bitnih za zdravstvenu ispravnost vode namijenjene za ljudsku potrošnju. </w:t>
            </w:r>
          </w:p>
          <w:p w:rsidR="005F73F4" w:rsidRPr="00DC2819" w:rsidRDefault="005F73F4" w:rsidP="005F73F4">
            <w:pPr>
              <w:jc w:val="both"/>
              <w:rPr>
                <w:rFonts w:eastAsia="Times New Roman"/>
                <w:szCs w:val="24"/>
              </w:rPr>
            </w:pPr>
            <w:r w:rsidRPr="00DC2819">
              <w:rPr>
                <w:rFonts w:eastAsia="Times New Roman"/>
                <w:szCs w:val="24"/>
              </w:rPr>
              <w:t>Provođenje potpunog pristupa vodi, provođenje operativnog i istraživačkog monitoringa te obveze provođenje procjene rizika i upravljanje rizikom kućne vodoopskrbne mreže u priritetnim objektima, obveza educiranja vodoinstalatera i drugih djelatnika koji rade s kućnim vodoopskrbnim mrežama i koji ugrađuju građevne proizvode i materijale koji dolaze u dodir s vodom namijenjenom za ljudsku potrošnju se može urediti isključivo propisivanjem jasnih uvjeta i načina provođenja u području vode namijenjene za ljudsku potrošnju te učinkovite uloge nadležnih tijela nad primjenom odredaba Zakona.</w:t>
            </w:r>
          </w:p>
          <w:p w:rsidR="005F73F4" w:rsidRPr="0097347E" w:rsidRDefault="005F73F4" w:rsidP="00EF4A24">
            <w:pPr>
              <w:widowControl w:val="0"/>
              <w:autoSpaceDE w:val="0"/>
              <w:spacing w:after="60"/>
              <w:jc w:val="both"/>
              <w:rPr>
                <w:rFonts w:eastAsia="Times New Roman"/>
                <w:szCs w:val="24"/>
              </w:rPr>
            </w:pPr>
          </w:p>
          <w:p w:rsidR="00166D5B" w:rsidRDefault="00055680" w:rsidP="00EF4A24">
            <w:pPr>
              <w:spacing w:after="60"/>
              <w:jc w:val="both"/>
              <w:rPr>
                <w:rFonts w:eastAsia="Times New Roman"/>
                <w:szCs w:val="24"/>
              </w:rPr>
            </w:pPr>
            <w:r w:rsidRPr="0097347E">
              <w:rPr>
                <w:rFonts w:eastAsia="Times New Roman"/>
                <w:szCs w:val="24"/>
              </w:rPr>
              <w:t>4.1.3. Opcija 3. (normativno rješenje) »Poduzimati nenormativnu aktivnost A«</w:t>
            </w:r>
          </w:p>
          <w:p w:rsidR="005F73F4" w:rsidRDefault="005F73F4" w:rsidP="005F73F4">
            <w:pPr>
              <w:jc w:val="both"/>
            </w:pPr>
            <w:r w:rsidRPr="00DC2819">
              <w:rPr>
                <w:rFonts w:eastAsia="Times New Roman"/>
                <w:szCs w:val="24"/>
              </w:rPr>
              <w:lastRenderedPageBreak/>
              <w:t>Moguće normativno rješenje je donošenje izmjena i dopuna važećeg Zakona o vodi za ljudsku potrošnju</w:t>
            </w:r>
            <w:r>
              <w:rPr>
                <w:rFonts w:eastAsia="Times New Roman"/>
                <w:i/>
                <w:szCs w:val="24"/>
              </w:rPr>
              <w:t xml:space="preserve"> </w:t>
            </w:r>
            <w:r>
              <w:rPr>
                <w:rFonts w:ascii="Minion Pro" w:hAnsi="Minion Pro"/>
                <w:color w:val="000000"/>
                <w:shd w:val="clear" w:color="auto" w:fill="FFFFFF"/>
              </w:rPr>
              <w:t xml:space="preserve">(»Narodne novine«, broj </w:t>
            </w:r>
            <w:r w:rsidRPr="00844FED">
              <w:t>56/13, 64/15, 104/17, 115/18 i 16/20)</w:t>
            </w:r>
            <w:r>
              <w:t xml:space="preserve">. Tijekom primjene navedenog Zakona , u razdoblju od 2013. godine do danas se pokazalo potrebnim unaprijediti određena zakonska rješenja i uskladiti s netom objavljenim zakonodavstvom Europske unije s ciljem  zaštite zdravlja ljudi  od negativnih učinaka bilo kakvog zagađenja vode namijenjene za ljudsku potrošnju osiguravanjem zdravstvene ispravnosti vode namijenjene za ljudsku potrošnju osiguravanjem njezine zdravstvene ispravnosti i čistoće.  Budući da je Zakon do sada  mijenjan pet puta te uzimajući u obzir da se transponiranjem Direktive (EU) 2020/2184 predlaže izmijeniti i dopuniti više od 80_% odredbi postojećeg Zakona, stručni nositelj izrade Zakona je, sukladno nomotehničkim pravilima, pristupio izradi novog teksta Zakona, umjesto izmjena i dopuna važećeg teksta. </w:t>
            </w:r>
          </w:p>
          <w:p w:rsidR="005F73F4" w:rsidRPr="0097347E" w:rsidRDefault="005F73F4" w:rsidP="00EF4A24">
            <w:pPr>
              <w:spacing w:after="60"/>
              <w:jc w:val="both"/>
              <w:rPr>
                <w:rFonts w:eastAsia="Times New Roman"/>
                <w:szCs w:val="24"/>
              </w:rPr>
            </w:pPr>
          </w:p>
          <w:p w:rsidR="00166D5B" w:rsidRPr="0097347E" w:rsidRDefault="00055680" w:rsidP="00EF4A24">
            <w:pPr>
              <w:spacing w:after="60"/>
              <w:jc w:val="both"/>
              <w:rPr>
                <w:rFonts w:eastAsia="Times New Roman"/>
                <w:szCs w:val="24"/>
              </w:rPr>
            </w:pPr>
            <w:r w:rsidRPr="0097347E">
              <w:rPr>
                <w:rFonts w:eastAsia="Times New Roman"/>
                <w:szCs w:val="24"/>
              </w:rPr>
              <w:t>4.1.4. Opcija 4. (normativno rješenje) »Poduzimati nenormativnu aktivnost B«</w:t>
            </w:r>
          </w:p>
          <w:p w:rsidR="005F73F4" w:rsidRPr="008041C0" w:rsidRDefault="005F73F4" w:rsidP="005F73F4">
            <w:pPr>
              <w:shd w:val="clear" w:color="auto" w:fill="FFFFFF" w:themeFill="background1"/>
              <w:jc w:val="both"/>
              <w:rPr>
                <w:color w:val="000000"/>
                <w:szCs w:val="24"/>
              </w:rPr>
            </w:pPr>
            <w:r w:rsidRPr="00DC2819">
              <w:rPr>
                <w:rFonts w:eastAsia="Times New Roman"/>
                <w:szCs w:val="24"/>
              </w:rPr>
              <w:t>Donošenje novog Zakona o vodi za ljudsku potrošnju je prihvatljivo normativno rješenje. Osnovni razlozi za donošenje novoga zakona su s transponiranje odredaba</w:t>
            </w:r>
            <w:r>
              <w:rPr>
                <w:rFonts w:eastAsia="Times New Roman"/>
                <w:i/>
                <w:szCs w:val="24"/>
              </w:rPr>
              <w:t xml:space="preserve"> </w:t>
            </w:r>
            <w:r>
              <w:t>Direktive (EU) 2020/2184 u zakonodavstvo Republike Hrvatske do propisanog zakonskog roka ( 12.01.2023</w:t>
            </w:r>
            <w:r w:rsidRPr="00E275CA">
              <w:t xml:space="preserve">.  kojim će se uspostaviti </w:t>
            </w:r>
            <w:r w:rsidRPr="008041C0">
              <w:rPr>
                <w:color w:val="000000"/>
                <w:szCs w:val="24"/>
              </w:rPr>
              <w:t xml:space="preserve">zaštita zdravlja ljudi od negativnih učinaka bilo kakvog zagađenja vode namijenjene za ljudsku potrošnju osiguravanjem njezine zdravstvene ispravnosti i čistoće te poboljšanje pristupa vodi namijenjenoj za ljudsku potrošnju temeljen na riziku. Stvoriti će se temelj za uvođenje potpunog pristupa vodi temeljenog na riziku u pogledu sigurnosti vode kojim će se obuhvatiti cijeli lanac opskrbe, od područja sliva, zahvaćanja, obrade, skladištenja i distribucije do točke usklađenosti, a sastojati će se procjene rizika i upravljanja rizikom za područje sliva za vodozahvate vode namijenjene za ljudsku potrošnju, procjene rizika i upravljanje rizikom za sustav opskrbe i procjene rizika za kućnu vodoopskrbnu mrežu. Proširiti će se i osnažiti odredba procjene rizika sliva, sustava opskrbe i kućne vodoopskrbne mreže te upravljanjem rizicima istih stvoriti će se mehanizam procjene kako kratkoročnih tako i dugoročnih namjernih i nenamjernih učinaka kako na kvalitetu vode za ljudsku potrošnju tako i na zdravlje ljudi, životinja i biljaka. </w:t>
            </w:r>
          </w:p>
          <w:p w:rsidR="005F73F4" w:rsidRPr="008041C0" w:rsidRDefault="005F73F4" w:rsidP="005F73F4">
            <w:pPr>
              <w:shd w:val="clear" w:color="auto" w:fill="FFFFFF" w:themeFill="background1"/>
              <w:jc w:val="both"/>
              <w:rPr>
                <w:color w:val="000000"/>
                <w:szCs w:val="24"/>
              </w:rPr>
            </w:pPr>
            <w:r w:rsidRPr="008041C0">
              <w:rPr>
                <w:color w:val="000000"/>
                <w:szCs w:val="24"/>
              </w:rPr>
              <w:t>Unaprijediti će se sustav ovlašćivanja službenih i kontrolnih laboratorija za vodu za ljudsku potrošnju. Poboljšati će se sustav informiranja potrošača o relevantnim informacijama, veća transparentnost i bolji protok informacija među dionicima  u području vode za ljudsku potrošnju. Ujedno će se poboljšati učinkovitost vodne infrastrukture izbjegavanjem iskorištavanja ograničenih resursa vode za ljudsku potrošnju. Uspostaviti će se ekonomičniji i učinkovitiji sustav monitoriranja /praćenja kvalitete vod namijenjene za ljudsku potrošnju.</w:t>
            </w:r>
          </w:p>
          <w:p w:rsidR="005F73F4" w:rsidRPr="008041C0" w:rsidRDefault="005F73F4" w:rsidP="005F73F4">
            <w:pPr>
              <w:shd w:val="clear" w:color="auto" w:fill="FFFFFF" w:themeFill="background1"/>
              <w:jc w:val="both"/>
              <w:rPr>
                <w:color w:val="000000"/>
                <w:szCs w:val="24"/>
              </w:rPr>
            </w:pPr>
            <w:r w:rsidRPr="008041C0">
              <w:rPr>
                <w:color w:val="000000"/>
                <w:szCs w:val="24"/>
              </w:rPr>
              <w:t>Stvoriti će se pravni preduvjeti kao temelj za donošenje provedbenih akata potrebnih za potpuno transponiranje Direktive (EU) 2020/2184 o kvaliteti vode za ljudsku potrošnju u RH zakonodavstvo. Očekuje se trajno i sustavno podizanje i održavanje razine zdravstvene ispravnosti vode namijenje</w:t>
            </w:r>
            <w:r>
              <w:rPr>
                <w:color w:val="000000"/>
                <w:szCs w:val="24"/>
              </w:rPr>
              <w:t>ne</w:t>
            </w:r>
            <w:r w:rsidRPr="008041C0">
              <w:rPr>
                <w:color w:val="000000"/>
                <w:szCs w:val="24"/>
              </w:rPr>
              <w:t xml:space="preserve"> za ljudsku potr</w:t>
            </w:r>
            <w:r w:rsidRPr="00E275CA">
              <w:rPr>
                <w:color w:val="000000"/>
                <w:szCs w:val="24"/>
              </w:rPr>
              <w:t>ošnju</w:t>
            </w:r>
            <w:r w:rsidRPr="008041C0">
              <w:rPr>
                <w:color w:val="000000"/>
                <w:szCs w:val="24"/>
              </w:rPr>
              <w:t>, veća sigurnost građana, jednakopravni položaj na tržištu  Republike Hrvatske pravnih i osoba i obrta koji u svojstvu isporučite</w:t>
            </w:r>
            <w:r>
              <w:rPr>
                <w:color w:val="000000"/>
                <w:szCs w:val="24"/>
              </w:rPr>
              <w:t>l</w:t>
            </w:r>
            <w:r w:rsidRPr="008041C0">
              <w:rPr>
                <w:color w:val="000000"/>
                <w:szCs w:val="24"/>
              </w:rPr>
              <w:t>ja vode namijenjenu za ljudsku potrošnju isporuč</w:t>
            </w:r>
            <w:r>
              <w:rPr>
                <w:color w:val="000000"/>
                <w:szCs w:val="24"/>
              </w:rPr>
              <w:t>u</w:t>
            </w:r>
            <w:r w:rsidRPr="008041C0">
              <w:rPr>
                <w:color w:val="000000"/>
                <w:szCs w:val="24"/>
              </w:rPr>
              <w:t>ju zdravstveno ispravnu i čistu vodu za ljudsku potrošnju  stanovništvu Republike Hrvatske. Zakonom će se omogućiti veća razina nadzora nad fizičkim i pravnim osobama koji isporučuju vodu namijenjenu za ljudsku potrošnju  na bilo koji način krajnjem potrošaču,  koji stavljaju ina tržište materijale koji dolaze u neposredan dodir s vodom namijenjenom za ljudsku potrošnju i kemikalije za filtriranje i medije za obradu vode namijenje</w:t>
            </w:r>
            <w:r>
              <w:rPr>
                <w:color w:val="000000"/>
                <w:szCs w:val="24"/>
              </w:rPr>
              <w:t>ne</w:t>
            </w:r>
            <w:r w:rsidRPr="00E275CA">
              <w:rPr>
                <w:color w:val="000000"/>
                <w:szCs w:val="24"/>
              </w:rPr>
              <w:t xml:space="preserve"> za ljudsku potr</w:t>
            </w:r>
            <w:r w:rsidRPr="008041C0">
              <w:rPr>
                <w:color w:val="000000"/>
                <w:szCs w:val="24"/>
              </w:rPr>
              <w:t xml:space="preserve">ošnju. </w:t>
            </w:r>
          </w:p>
          <w:p w:rsidR="00055680" w:rsidRDefault="00055680" w:rsidP="00EF4A24"/>
          <w:p w:rsidR="005F73F4" w:rsidRDefault="005F73F4" w:rsidP="00EF4A24"/>
          <w:p w:rsidR="005F73F4" w:rsidRPr="0097347E" w:rsidRDefault="005F73F4" w:rsidP="00EF4A24"/>
        </w:tc>
      </w:tr>
      <w:tr w:rsidR="00055680" w:rsidRPr="0097347E" w:rsidTr="00EF4A24">
        <w:trPr>
          <w:trHeight w:val="6662"/>
        </w:trPr>
        <w:tc>
          <w:tcPr>
            <w:tcW w:w="851" w:type="dxa"/>
          </w:tcPr>
          <w:p w:rsidR="00055680" w:rsidRPr="0097347E" w:rsidRDefault="00055680" w:rsidP="00EF4A24">
            <w:r w:rsidRPr="0097347E">
              <w:lastRenderedPageBreak/>
              <w:t>4.2.</w:t>
            </w:r>
          </w:p>
        </w:tc>
        <w:tc>
          <w:tcPr>
            <w:tcW w:w="9072" w:type="dxa"/>
            <w:gridSpan w:val="3"/>
            <w:shd w:val="clear" w:color="auto" w:fill="auto"/>
          </w:tcPr>
          <w:p w:rsidR="00055680" w:rsidRDefault="00055680" w:rsidP="00EF4A24">
            <w:pPr>
              <w:spacing w:after="60"/>
              <w:jc w:val="both"/>
              <w:rPr>
                <w:rFonts w:eastAsia="Times New Roman"/>
                <w:b/>
                <w:szCs w:val="24"/>
              </w:rPr>
            </w:pPr>
            <w:r w:rsidRPr="0097347E">
              <w:rPr>
                <w:rFonts w:eastAsia="Times New Roman"/>
                <w:b/>
                <w:szCs w:val="24"/>
              </w:rPr>
              <w:t>Ocjena i opcije</w:t>
            </w:r>
          </w:p>
          <w:p w:rsidR="00FC026C" w:rsidRPr="0097347E" w:rsidRDefault="00FC026C" w:rsidP="00FC026C">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055680" w:rsidRPr="0097347E" w:rsidRDefault="00055680" w:rsidP="00EF4A24">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Koristi (pozitivni učinci)</w:t>
                  </w: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F94384" w:rsidP="00EF4A24">
                  <w:pPr>
                    <w:spacing w:after="60"/>
                    <w:jc w:val="both"/>
                    <w:rPr>
                      <w:rFonts w:eastAsia="Times New Roman"/>
                      <w:szCs w:val="24"/>
                    </w:rPr>
                  </w:pPr>
                  <w:r>
                    <w:rPr>
                      <w:rFonts w:eastAsia="Times New Roman"/>
                      <w:szCs w:val="24"/>
                    </w:rPr>
                    <w:t>++</w:t>
                  </w:r>
                </w:p>
              </w:tc>
            </w:tr>
          </w:tbl>
          <w:p w:rsidR="00055680" w:rsidRPr="0097347E" w:rsidRDefault="00055680" w:rsidP="00EF4A24">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055680" w:rsidRPr="0097347E" w:rsidTr="007C137B">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Legenda: </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 znatan negativni učinak</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1 nema učinka</w:t>
                  </w:r>
                </w:p>
                <w:p w:rsidR="00055680" w:rsidRPr="0097347E" w:rsidRDefault="00055680" w:rsidP="00EF4A24">
                  <w:pPr>
                    <w:widowControl w:val="0"/>
                    <w:autoSpaceDE w:val="0"/>
                    <w:spacing w:after="60"/>
                    <w:ind w:left="45"/>
                    <w:jc w:val="both"/>
                    <w:rPr>
                      <w:rFonts w:eastAsia="Times New Roman"/>
                      <w:szCs w:val="24"/>
                    </w:rPr>
                  </w:pPr>
                  <w:r w:rsidRPr="0097347E">
                    <w:rPr>
                      <w:rFonts w:eastAsia="Times New Roman"/>
                      <w:szCs w:val="24"/>
                    </w:rPr>
                    <w:t>+ ograničen pozitivan učinak</w:t>
                  </w:r>
                </w:p>
                <w:p w:rsidR="00055680" w:rsidRPr="0097347E" w:rsidRDefault="00055680" w:rsidP="00EF4A24">
                  <w:pPr>
                    <w:spacing w:after="60"/>
                    <w:jc w:val="both"/>
                    <w:rPr>
                      <w:szCs w:val="24"/>
                    </w:rPr>
                  </w:pPr>
                  <w:r w:rsidRPr="0097347E">
                    <w:rPr>
                      <w:rFonts w:eastAsia="Times New Roman"/>
                      <w:szCs w:val="24"/>
                    </w:rPr>
                    <w:t>+ + znatan pozitivan učinak</w:t>
                  </w:r>
                </w:p>
              </w:tc>
            </w:tr>
          </w:tbl>
          <w:p w:rsidR="00055680" w:rsidRPr="0097347E" w:rsidRDefault="00055680" w:rsidP="00EF4A24">
            <w:pPr>
              <w:spacing w:after="60"/>
              <w:jc w:val="both"/>
              <w:rPr>
                <w:rFonts w:eastAsia="Times New Roman"/>
                <w:b/>
                <w:szCs w:val="24"/>
              </w:rPr>
            </w:pPr>
          </w:p>
        </w:tc>
      </w:tr>
      <w:tr w:rsidR="00055680" w:rsidRPr="0097347E" w:rsidTr="007C137B">
        <w:tc>
          <w:tcPr>
            <w:tcW w:w="851" w:type="dxa"/>
            <w:vMerge w:val="restart"/>
          </w:tcPr>
          <w:p w:rsidR="00055680" w:rsidRPr="0097347E" w:rsidRDefault="00055680" w:rsidP="00EF4A24">
            <w:r w:rsidRPr="0097347E">
              <w:t xml:space="preserve">5. </w:t>
            </w:r>
          </w:p>
        </w:tc>
        <w:tc>
          <w:tcPr>
            <w:tcW w:w="9072" w:type="dxa"/>
            <w:gridSpan w:val="3"/>
          </w:tcPr>
          <w:p w:rsidR="00055680" w:rsidRPr="0097347E" w:rsidRDefault="00055680" w:rsidP="00EF4A24">
            <w:pPr>
              <w:rPr>
                <w:b/>
              </w:rPr>
            </w:pPr>
            <w:r w:rsidRPr="0097347E">
              <w:rPr>
                <w:b/>
              </w:rPr>
              <w:t>PROVOĐENJE SCM METODOLOGIJE</w:t>
            </w:r>
          </w:p>
        </w:tc>
      </w:tr>
      <w:tr w:rsidR="00055680" w:rsidRPr="0097347E" w:rsidTr="00EF4A24">
        <w:tc>
          <w:tcPr>
            <w:tcW w:w="851" w:type="dxa"/>
            <w:vMerge/>
          </w:tcPr>
          <w:p w:rsidR="00055680" w:rsidRPr="0097347E" w:rsidRDefault="00055680" w:rsidP="00EF4A24"/>
        </w:tc>
        <w:tc>
          <w:tcPr>
            <w:tcW w:w="9072" w:type="dxa"/>
            <w:gridSpan w:val="3"/>
            <w:shd w:val="clear" w:color="auto" w:fill="auto"/>
          </w:tcPr>
          <w:p w:rsidR="00DC2819" w:rsidRDefault="00DC2819" w:rsidP="00253C38">
            <w:pPr>
              <w:jc w:val="both"/>
              <w:rPr>
                <w:rFonts w:eastAsia="Times New Roman"/>
                <w:szCs w:val="24"/>
              </w:rPr>
            </w:pPr>
          </w:p>
          <w:p w:rsidR="00835324" w:rsidRPr="00FE5309" w:rsidRDefault="00835324" w:rsidP="00253C38">
            <w:pPr>
              <w:jc w:val="both"/>
              <w:rPr>
                <w:rFonts w:eastAsia="Times New Roman"/>
                <w:szCs w:val="24"/>
              </w:rPr>
            </w:pPr>
            <w:r w:rsidRPr="00FE5309">
              <w:rPr>
                <w:rFonts w:eastAsia="Times New Roman"/>
                <w:szCs w:val="24"/>
              </w:rPr>
              <w:t xml:space="preserve">Tijekom analize i postupaka mjerenja korištenjem SCM metodologije izmjeren je ukupan </w:t>
            </w:r>
            <w:r w:rsidR="00FE5309" w:rsidRPr="00FE5309">
              <w:rPr>
                <w:rFonts w:eastAsia="Times New Roman"/>
                <w:szCs w:val="24"/>
              </w:rPr>
              <w:t>administrativ</w:t>
            </w:r>
            <w:r w:rsidR="00FE5309">
              <w:rPr>
                <w:rFonts w:eastAsia="Times New Roman"/>
                <w:szCs w:val="24"/>
              </w:rPr>
              <w:t>ni</w:t>
            </w:r>
            <w:r w:rsidR="00FE5309" w:rsidRPr="00FE5309">
              <w:rPr>
                <w:rFonts w:eastAsia="Times New Roman"/>
                <w:szCs w:val="24"/>
              </w:rPr>
              <w:t xml:space="preserve"> </w:t>
            </w:r>
            <w:r w:rsidRPr="00FE5309">
              <w:rPr>
                <w:rFonts w:eastAsia="Times New Roman"/>
                <w:szCs w:val="24"/>
              </w:rPr>
              <w:t xml:space="preserve">trošak kroz </w:t>
            </w:r>
            <w:r w:rsidR="00F94384" w:rsidRPr="00FE5309">
              <w:rPr>
                <w:rFonts w:eastAsia="Times New Roman"/>
                <w:szCs w:val="24"/>
              </w:rPr>
              <w:t>10</w:t>
            </w:r>
            <w:r w:rsidRPr="00FE5309">
              <w:rPr>
                <w:rFonts w:eastAsia="Times New Roman"/>
                <w:szCs w:val="24"/>
              </w:rPr>
              <w:t xml:space="preserve"> administrativnih obveza za gospodarstvo u iznosu od </w:t>
            </w:r>
            <w:r w:rsidR="00F94384" w:rsidRPr="00FE5309">
              <w:rPr>
                <w:rFonts w:eastAsia="Times New Roman"/>
                <w:szCs w:val="24"/>
              </w:rPr>
              <w:t>1.</w:t>
            </w:r>
            <w:r w:rsidR="002F5A26" w:rsidRPr="00FE5309">
              <w:rPr>
                <w:rFonts w:eastAsia="Times New Roman"/>
                <w:szCs w:val="24"/>
              </w:rPr>
              <w:t>6</w:t>
            </w:r>
            <w:r w:rsidR="00F94384" w:rsidRPr="00FE5309">
              <w:rPr>
                <w:rFonts w:eastAsia="Times New Roman"/>
                <w:szCs w:val="24"/>
              </w:rPr>
              <w:t>54.638,43 kn</w:t>
            </w:r>
            <w:r w:rsidR="0069226D">
              <w:rPr>
                <w:rFonts w:eastAsia="Times New Roman"/>
                <w:szCs w:val="24"/>
              </w:rPr>
              <w:t>.</w:t>
            </w:r>
          </w:p>
          <w:p w:rsidR="00835324" w:rsidRPr="00FE5309" w:rsidRDefault="00835324" w:rsidP="00253C38">
            <w:pPr>
              <w:jc w:val="both"/>
              <w:rPr>
                <w:rFonts w:eastAsia="Times New Roman"/>
                <w:szCs w:val="24"/>
              </w:rPr>
            </w:pPr>
          </w:p>
          <w:p w:rsidR="009A6EAA" w:rsidRDefault="009A6EAA" w:rsidP="00413D20">
            <w:pPr>
              <w:jc w:val="both"/>
            </w:pPr>
          </w:p>
          <w:p w:rsidR="00AD4446" w:rsidRDefault="00AD4446" w:rsidP="00413D20">
            <w:pPr>
              <w:jc w:val="both"/>
            </w:pPr>
          </w:p>
          <w:p w:rsidR="00413D20" w:rsidRPr="0097347E" w:rsidRDefault="00413D20" w:rsidP="00413D20">
            <w:pPr>
              <w:jc w:val="both"/>
              <w:rPr>
                <w:rFonts w:eastAsia="Times New Roman"/>
                <w:i/>
                <w:szCs w:val="24"/>
              </w:rPr>
            </w:pPr>
          </w:p>
        </w:tc>
      </w:tr>
      <w:tr w:rsidR="00055680" w:rsidRPr="0097347E" w:rsidTr="007C137B">
        <w:tc>
          <w:tcPr>
            <w:tcW w:w="851" w:type="dxa"/>
          </w:tcPr>
          <w:p w:rsidR="00055680" w:rsidRPr="0097347E" w:rsidRDefault="00055680" w:rsidP="00EF4A24">
            <w:r w:rsidRPr="0097347E">
              <w:t>6.</w:t>
            </w:r>
          </w:p>
        </w:tc>
        <w:tc>
          <w:tcPr>
            <w:tcW w:w="9072" w:type="dxa"/>
            <w:gridSpan w:val="3"/>
          </w:tcPr>
          <w:p w:rsidR="00055680" w:rsidRPr="0097347E" w:rsidRDefault="00055680" w:rsidP="00413D20">
            <w:pPr>
              <w:rPr>
                <w:b/>
              </w:rPr>
            </w:pPr>
            <w:r w:rsidRPr="0097347E">
              <w:rPr>
                <w:b/>
              </w:rPr>
              <w:t>SAVJETOVANJE I KONZULTACIJE</w:t>
            </w:r>
          </w:p>
        </w:tc>
      </w:tr>
      <w:tr w:rsidR="00055680" w:rsidRPr="0097347E" w:rsidTr="00EF4A24">
        <w:trPr>
          <w:trHeight w:val="425"/>
        </w:trPr>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szCs w:val="24"/>
              </w:rPr>
            </w:pPr>
            <w:r w:rsidRPr="0097347E">
              <w:rPr>
                <w:i/>
              </w:rPr>
              <w:t>Savjetovanje se provodi u trajanju od najmanje 30 dana uz</w:t>
            </w:r>
            <w:r w:rsidRPr="0097347E">
              <w:rPr>
                <w:i/>
                <w:szCs w:val="24"/>
              </w:rPr>
              <w:t xml:space="preserve"> javno izlaganje materije koja je predmet savjetovan</w:t>
            </w:r>
            <w:r w:rsidRPr="0097347E">
              <w:rPr>
                <w:i/>
              </w:rPr>
              <w:t>ja.</w:t>
            </w:r>
            <w:r w:rsidRPr="0097347E">
              <w:rPr>
                <w:i/>
                <w:szCs w:val="24"/>
              </w:rPr>
              <w:t xml:space="preserve"> Savjetovanje se provodi putem središnjeg državnog internetskog portala za savjetovanje s javnošću objavom nacrta prijedloga zakona i Iskaza o procjeni učinaka propisa. </w:t>
            </w:r>
            <w:r w:rsidRPr="0097347E">
              <w:rPr>
                <w:i/>
              </w:rPr>
              <w:t>Tijekom savjetovanja potrebno je provesti jedno ili više javnih izlaganja nacrta prijedloga zakona i Iskaza o procjeni učinaka propisa neposrednim kontaktom s dionicima.</w:t>
            </w:r>
          </w:p>
          <w:p w:rsidR="00055680" w:rsidRPr="0097347E" w:rsidRDefault="00055680" w:rsidP="00EF4A24">
            <w:pPr>
              <w:jc w:val="both"/>
              <w:rPr>
                <w:i/>
              </w:rPr>
            </w:pPr>
            <w:r w:rsidRPr="0097347E">
              <w:rPr>
                <w:i/>
              </w:rPr>
              <w:t xml:space="preserve">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nacrt prijedloga zakona i Iskaz o procjeni učinaka propisa. </w:t>
            </w:r>
          </w:p>
          <w:p w:rsidR="00055680" w:rsidRPr="0097347E" w:rsidRDefault="00055680" w:rsidP="00EF4A24">
            <w:pPr>
              <w:contextualSpacing/>
              <w:jc w:val="both"/>
              <w:rPr>
                <w:i/>
                <w:szCs w:val="24"/>
              </w:rPr>
            </w:pPr>
            <w:r w:rsidRPr="0097347E">
              <w:rPr>
                <w:i/>
                <w:szCs w:val="24"/>
              </w:rPr>
              <w:t xml:space="preserve">Istovremeno sa savjetovanjem, </w:t>
            </w:r>
            <w:r w:rsidRPr="0097347E">
              <w:rPr>
                <w:i/>
              </w:rPr>
              <w:t>I</w:t>
            </w:r>
            <w:r w:rsidRPr="0097347E">
              <w:rPr>
                <w:i/>
                <w:szCs w:val="24"/>
              </w:rPr>
              <w:t>skaz o procjeni učinaka propisa dostavlja se na mišljenje nadležnim tijelima</w:t>
            </w:r>
            <w:r w:rsidRPr="0097347E">
              <w:rPr>
                <w:i/>
              </w:rPr>
              <w:t xml:space="preserve"> i Uredu za zakonodavstvo. Potrebno je ukratko navesti kojim nadležnim tijelima je dostavljen Iskaz o procjeni učinaka propisa i kada je zaprimljeno mišljenje nadležnog tijela i Ureda za zakonodavstvo.</w:t>
            </w:r>
          </w:p>
        </w:tc>
      </w:tr>
      <w:tr w:rsidR="00055680" w:rsidRPr="0097347E" w:rsidTr="007C137B">
        <w:tc>
          <w:tcPr>
            <w:tcW w:w="851" w:type="dxa"/>
          </w:tcPr>
          <w:p w:rsidR="00055680" w:rsidRPr="0097347E" w:rsidRDefault="00055680" w:rsidP="00EF4A24">
            <w:r w:rsidRPr="0097347E">
              <w:t>7.</w:t>
            </w:r>
          </w:p>
        </w:tc>
        <w:tc>
          <w:tcPr>
            <w:tcW w:w="9072" w:type="dxa"/>
            <w:gridSpan w:val="3"/>
          </w:tcPr>
          <w:p w:rsidR="00055680" w:rsidRPr="0097347E" w:rsidRDefault="00055680" w:rsidP="00EF4A24">
            <w:r w:rsidRPr="0097347E">
              <w:rPr>
                <w:b/>
              </w:rPr>
              <w:t>OPTIMALNO RJEŠENJE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Potrebno je kratko i sažeto prezentirati ukupne rezultate provedenog postupka procjene učinaka. Potrebno je dati analizu koristi i troškova nacrta prijedloga zakona, imajući u vidu rezultate analize i provedeno savjetovanje. Na temelju svega izloženog u postupku procjene učinaka propisa sažeto predložite optimalno normativno rješenje koje dovodi do rješenja za utvrđeni problem tako što donosi najviše ukupnih koristi u odnosu na ukupne troškove.</w:t>
            </w:r>
          </w:p>
        </w:tc>
      </w:tr>
      <w:tr w:rsidR="00055680" w:rsidRPr="0097347E" w:rsidTr="007C137B">
        <w:tc>
          <w:tcPr>
            <w:tcW w:w="851" w:type="dxa"/>
          </w:tcPr>
          <w:p w:rsidR="00055680" w:rsidRPr="0097347E" w:rsidRDefault="00055680" w:rsidP="00EF4A24">
            <w:r w:rsidRPr="0097347E">
              <w:t>8.</w:t>
            </w:r>
          </w:p>
        </w:tc>
        <w:tc>
          <w:tcPr>
            <w:tcW w:w="9072" w:type="dxa"/>
            <w:gridSpan w:val="3"/>
          </w:tcPr>
          <w:p w:rsidR="00055680" w:rsidRPr="0097347E" w:rsidRDefault="00055680" w:rsidP="00EF4A24">
            <w:pPr>
              <w:rPr>
                <w:b/>
              </w:rPr>
            </w:pPr>
            <w:r w:rsidRPr="0097347E">
              <w:rPr>
                <w:b/>
              </w:rPr>
              <w:t>VREMENSKI OKVIR I VREDNOVANJE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Sažeto i jasno navedite vremenski okvir postizanja očekivanih ishoda zakona, kako bi se omogućilo kontinuirano praćenje provedbe, kao i naknadno vrednovanje provedbe zakona. Za praćenje provedbe zakona  potrebno je sažeto navesti kratki pregled postupka provedbe, utvrditi osnovne indikatore za praćenje provedbe (osnovne pokazatelje uspješnosti), utvrditi osnovne indikatore za vrednovanje postignutih ishoda zakona. Ako do sada nije bilo dostupnih podataka, odnosno podaci nisu bili cjeloviti ili se nisu prikupljali na odgovarajući način, kroz praćenje provedbe zakona moguće je utvrditi osnovne indikatore na temelju kojih će se podaci početi prikupljati.</w:t>
            </w:r>
          </w:p>
        </w:tc>
      </w:tr>
      <w:tr w:rsidR="00055680" w:rsidRPr="0097347E" w:rsidTr="007C137B">
        <w:tc>
          <w:tcPr>
            <w:tcW w:w="851" w:type="dxa"/>
          </w:tcPr>
          <w:p w:rsidR="00055680" w:rsidRPr="0097347E" w:rsidRDefault="00055680" w:rsidP="00EF4A24">
            <w:r w:rsidRPr="0097347E">
              <w:t xml:space="preserve">9. </w:t>
            </w:r>
          </w:p>
        </w:tc>
        <w:tc>
          <w:tcPr>
            <w:tcW w:w="9072" w:type="dxa"/>
            <w:gridSpan w:val="3"/>
          </w:tcPr>
          <w:p w:rsidR="00055680" w:rsidRPr="0097347E" w:rsidRDefault="00055680" w:rsidP="00EF4A24">
            <w:pPr>
              <w:jc w:val="both"/>
              <w:rPr>
                <w:b/>
              </w:rPr>
            </w:pPr>
            <w:r w:rsidRPr="0097347E">
              <w:rPr>
                <w:b/>
              </w:rPr>
              <w:t>PRILOZI</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055680" w:rsidRPr="0097347E" w:rsidTr="007C137B">
        <w:tc>
          <w:tcPr>
            <w:tcW w:w="851" w:type="dxa"/>
          </w:tcPr>
          <w:p w:rsidR="00055680" w:rsidRPr="0097347E" w:rsidRDefault="00055680" w:rsidP="00EF4A24">
            <w:r w:rsidRPr="0097347E">
              <w:t xml:space="preserve">10. </w:t>
            </w:r>
          </w:p>
        </w:tc>
        <w:tc>
          <w:tcPr>
            <w:tcW w:w="9072" w:type="dxa"/>
            <w:gridSpan w:val="3"/>
          </w:tcPr>
          <w:p w:rsidR="00055680" w:rsidRPr="0097347E" w:rsidRDefault="00055680" w:rsidP="00EF4A24">
            <w:pPr>
              <w:rPr>
                <w:b/>
                <w:szCs w:val="24"/>
              </w:rPr>
            </w:pPr>
            <w:r w:rsidRPr="0097347E">
              <w:rPr>
                <w:b/>
                <w:szCs w:val="24"/>
              </w:rPr>
              <w:t>POTPIS ČELNIKA TIJELA</w:t>
            </w:r>
          </w:p>
        </w:tc>
      </w:tr>
      <w:tr w:rsidR="00055680" w:rsidRPr="0097347E" w:rsidTr="007C137B">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Potpis:</w:t>
            </w:r>
          </w:p>
          <w:p w:rsidR="00F4012C" w:rsidRDefault="003F746F" w:rsidP="00F4012C">
            <w:pPr>
              <w:shd w:val="clear" w:color="auto" w:fill="FFFFFF"/>
              <w:jc w:val="center"/>
              <w:rPr>
                <w:rFonts w:eastAsiaTheme="minorEastAsia"/>
              </w:rPr>
            </w:pPr>
            <w:r>
              <w:rPr>
                <w:rFonts w:eastAsiaTheme="minorEastAsia"/>
              </w:rPr>
              <w:t xml:space="preserve">                               </w:t>
            </w:r>
            <w:r w:rsidR="00F4012C" w:rsidRPr="00E555CB">
              <w:rPr>
                <w:rFonts w:eastAsiaTheme="minorEastAsia"/>
              </w:rPr>
              <w:t>MINISTAR</w:t>
            </w:r>
          </w:p>
          <w:p w:rsidR="00FE5309" w:rsidRPr="00E555CB" w:rsidRDefault="00FE5309" w:rsidP="00F4012C">
            <w:pPr>
              <w:shd w:val="clear" w:color="auto" w:fill="FFFFFF"/>
              <w:jc w:val="center"/>
              <w:rPr>
                <w:rFonts w:eastAsiaTheme="minorEastAsia"/>
              </w:rPr>
            </w:pPr>
          </w:p>
          <w:p w:rsidR="00055680" w:rsidRDefault="00F4012C" w:rsidP="00F4012C">
            <w:pPr>
              <w:jc w:val="both"/>
              <w:rPr>
                <w:rFonts w:eastAsiaTheme="minorEastAsia"/>
              </w:rPr>
            </w:pPr>
            <w:r w:rsidRPr="00E555CB">
              <w:rPr>
                <w:rFonts w:eastAsiaTheme="minorEastAsia"/>
              </w:rPr>
              <w:t xml:space="preserve">                                      </w:t>
            </w:r>
            <w:r w:rsidR="003F746F">
              <w:rPr>
                <w:rFonts w:eastAsiaTheme="minorEastAsia"/>
              </w:rPr>
              <w:t xml:space="preserve">                       </w:t>
            </w:r>
            <w:r w:rsidRPr="00E555CB">
              <w:rPr>
                <w:rFonts w:eastAsiaTheme="minorEastAsia"/>
              </w:rPr>
              <w:t> izv. prof. dr. sc. Vili Beroš, dr. med.</w:t>
            </w:r>
          </w:p>
          <w:p w:rsidR="00FE5309" w:rsidRDefault="00FE5309" w:rsidP="00F4012C">
            <w:pPr>
              <w:jc w:val="both"/>
              <w:rPr>
                <w:rFonts w:eastAsiaTheme="minorEastAsia"/>
              </w:rPr>
            </w:pPr>
          </w:p>
          <w:p w:rsidR="00FE5309" w:rsidRPr="0097347E" w:rsidRDefault="00FE5309" w:rsidP="00F4012C">
            <w:pPr>
              <w:jc w:val="both"/>
              <w:rPr>
                <w:rFonts w:eastAsia="Times New Roman"/>
                <w:szCs w:val="24"/>
              </w:rPr>
            </w:pPr>
          </w:p>
          <w:p w:rsidR="00055680" w:rsidRDefault="00055680" w:rsidP="00EF4A24">
            <w:pPr>
              <w:jc w:val="both"/>
              <w:rPr>
                <w:rFonts w:eastAsia="Times New Roman"/>
                <w:szCs w:val="24"/>
              </w:rPr>
            </w:pPr>
            <w:r w:rsidRPr="0097347E">
              <w:rPr>
                <w:rFonts w:eastAsia="Times New Roman"/>
                <w:szCs w:val="24"/>
              </w:rPr>
              <w:t>Datum:</w:t>
            </w:r>
            <w:r w:rsidR="00F4012C">
              <w:rPr>
                <w:rFonts w:eastAsia="Times New Roman"/>
                <w:szCs w:val="24"/>
              </w:rPr>
              <w:t xml:space="preserve"> </w:t>
            </w:r>
            <w:r w:rsidR="008F5A40">
              <w:rPr>
                <w:rFonts w:eastAsia="Times New Roman"/>
                <w:szCs w:val="24"/>
              </w:rPr>
              <w:t>27. travnja 2022.</w:t>
            </w:r>
          </w:p>
          <w:p w:rsidR="00FE5309" w:rsidRPr="0097347E" w:rsidRDefault="00FE5309" w:rsidP="00EF4A24">
            <w:pPr>
              <w:jc w:val="both"/>
              <w:rPr>
                <w:rFonts w:eastAsia="Times New Roman"/>
                <w:szCs w:val="24"/>
              </w:rPr>
            </w:pPr>
          </w:p>
          <w:p w:rsidR="00055680" w:rsidRPr="0097347E" w:rsidRDefault="00055680" w:rsidP="00EF4A24">
            <w:pPr>
              <w:rPr>
                <w:szCs w:val="24"/>
              </w:rPr>
            </w:pPr>
          </w:p>
        </w:tc>
      </w:tr>
      <w:tr w:rsidR="00055680" w:rsidRPr="0097347E" w:rsidTr="007C137B">
        <w:tc>
          <w:tcPr>
            <w:tcW w:w="851" w:type="dxa"/>
          </w:tcPr>
          <w:p w:rsidR="00055680" w:rsidRPr="0097347E" w:rsidRDefault="00055680" w:rsidP="00EF4A24">
            <w:r w:rsidRPr="0097347E">
              <w:t>11.</w:t>
            </w:r>
          </w:p>
        </w:tc>
        <w:tc>
          <w:tcPr>
            <w:tcW w:w="9072" w:type="dxa"/>
            <w:gridSpan w:val="3"/>
          </w:tcPr>
          <w:p w:rsidR="00055680" w:rsidRPr="0097347E" w:rsidRDefault="00055680" w:rsidP="00EF4A24">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055680" w:rsidRPr="0097347E" w:rsidTr="007C137B">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Uputa:</w:t>
            </w:r>
          </w:p>
          <w:p w:rsidR="00055680" w:rsidRPr="0097347E" w:rsidRDefault="00055680" w:rsidP="00EF4A24">
            <w:pPr>
              <w:pStyle w:val="Odlomakpopisa"/>
              <w:numPr>
                <w:ilvl w:val="0"/>
                <w:numId w:val="1"/>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EF4A24"/>
    <w:sectPr w:rsidR="00A70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F5" w:rsidRDefault="00232AF5" w:rsidP="003F746F">
      <w:r>
        <w:separator/>
      </w:r>
    </w:p>
  </w:endnote>
  <w:endnote w:type="continuationSeparator" w:id="0">
    <w:p w:rsidR="00232AF5" w:rsidRDefault="00232AF5" w:rsidP="003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F5" w:rsidRDefault="00232AF5" w:rsidP="003F746F">
      <w:r>
        <w:separator/>
      </w:r>
    </w:p>
  </w:footnote>
  <w:footnote w:type="continuationSeparator" w:id="0">
    <w:p w:rsidR="00232AF5" w:rsidRDefault="00232AF5" w:rsidP="003F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0"/>
    <w:rsid w:val="000019F7"/>
    <w:rsid w:val="00053BA5"/>
    <w:rsid w:val="00055680"/>
    <w:rsid w:val="00062DBF"/>
    <w:rsid w:val="00075ADB"/>
    <w:rsid w:val="000B18DF"/>
    <w:rsid w:val="00107B11"/>
    <w:rsid w:val="00166D5B"/>
    <w:rsid w:val="00186AE4"/>
    <w:rsid w:val="00232AF5"/>
    <w:rsid w:val="002462A5"/>
    <w:rsid w:val="00253C38"/>
    <w:rsid w:val="00257766"/>
    <w:rsid w:val="00262116"/>
    <w:rsid w:val="002A5CDC"/>
    <w:rsid w:val="002F5A26"/>
    <w:rsid w:val="00312C89"/>
    <w:rsid w:val="00322FCA"/>
    <w:rsid w:val="00363BDB"/>
    <w:rsid w:val="003701F9"/>
    <w:rsid w:val="003939BB"/>
    <w:rsid w:val="003B03EA"/>
    <w:rsid w:val="003D3182"/>
    <w:rsid w:val="003F17CB"/>
    <w:rsid w:val="003F746F"/>
    <w:rsid w:val="00410E21"/>
    <w:rsid w:val="00413D20"/>
    <w:rsid w:val="00487CD7"/>
    <w:rsid w:val="00494008"/>
    <w:rsid w:val="004B1A9E"/>
    <w:rsid w:val="005216D5"/>
    <w:rsid w:val="00537BF9"/>
    <w:rsid w:val="00541E48"/>
    <w:rsid w:val="005935BE"/>
    <w:rsid w:val="005B3D7D"/>
    <w:rsid w:val="005C37CF"/>
    <w:rsid w:val="005D5911"/>
    <w:rsid w:val="005F73F4"/>
    <w:rsid w:val="00610946"/>
    <w:rsid w:val="006137C1"/>
    <w:rsid w:val="00642CFC"/>
    <w:rsid w:val="0069226D"/>
    <w:rsid w:val="006946C3"/>
    <w:rsid w:val="006C3002"/>
    <w:rsid w:val="007175A5"/>
    <w:rsid w:val="00761688"/>
    <w:rsid w:val="007B51F0"/>
    <w:rsid w:val="007B69CC"/>
    <w:rsid w:val="007E0182"/>
    <w:rsid w:val="00822432"/>
    <w:rsid w:val="00835324"/>
    <w:rsid w:val="00840E76"/>
    <w:rsid w:val="00872DE6"/>
    <w:rsid w:val="008B305A"/>
    <w:rsid w:val="008E017A"/>
    <w:rsid w:val="008F5A40"/>
    <w:rsid w:val="00927F54"/>
    <w:rsid w:val="0095017F"/>
    <w:rsid w:val="00977730"/>
    <w:rsid w:val="00977C50"/>
    <w:rsid w:val="009A39D4"/>
    <w:rsid w:val="009A6EAA"/>
    <w:rsid w:val="009D2C61"/>
    <w:rsid w:val="00A12205"/>
    <w:rsid w:val="00A26097"/>
    <w:rsid w:val="00A6029F"/>
    <w:rsid w:val="00A70780"/>
    <w:rsid w:val="00AA637B"/>
    <w:rsid w:val="00AD4446"/>
    <w:rsid w:val="00AF71C7"/>
    <w:rsid w:val="00AF7D80"/>
    <w:rsid w:val="00B05A62"/>
    <w:rsid w:val="00B06467"/>
    <w:rsid w:val="00B22179"/>
    <w:rsid w:val="00B24768"/>
    <w:rsid w:val="00B523DF"/>
    <w:rsid w:val="00B57B05"/>
    <w:rsid w:val="00BF114D"/>
    <w:rsid w:val="00C017F5"/>
    <w:rsid w:val="00C12AB4"/>
    <w:rsid w:val="00C13B94"/>
    <w:rsid w:val="00C25D82"/>
    <w:rsid w:val="00C915BC"/>
    <w:rsid w:val="00CD02A9"/>
    <w:rsid w:val="00CD1D4F"/>
    <w:rsid w:val="00CE6776"/>
    <w:rsid w:val="00D10E0E"/>
    <w:rsid w:val="00D30C9C"/>
    <w:rsid w:val="00D40E21"/>
    <w:rsid w:val="00DC2819"/>
    <w:rsid w:val="00DD35C2"/>
    <w:rsid w:val="00DF26C0"/>
    <w:rsid w:val="00E275CA"/>
    <w:rsid w:val="00E86545"/>
    <w:rsid w:val="00EB05EB"/>
    <w:rsid w:val="00EF4A24"/>
    <w:rsid w:val="00F054DB"/>
    <w:rsid w:val="00F33F8A"/>
    <w:rsid w:val="00F351E7"/>
    <w:rsid w:val="00F4012C"/>
    <w:rsid w:val="00F4245F"/>
    <w:rsid w:val="00F57416"/>
    <w:rsid w:val="00F94384"/>
    <w:rsid w:val="00F9652D"/>
    <w:rsid w:val="00FC026C"/>
    <w:rsid w:val="00FD34DB"/>
    <w:rsid w:val="00FE5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F6449-19CE-4D85-82A0-185882CC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680"/>
    <w:pPr>
      <w:ind w:left="720"/>
      <w:contextualSpacing/>
    </w:pPr>
  </w:style>
  <w:style w:type="table" w:styleId="Reetkatablice">
    <w:name w:val="Table Grid"/>
    <w:basedOn w:val="Obinatablica"/>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055680"/>
    <w:rPr>
      <w:color w:val="0000FF"/>
      <w:u w:val="single"/>
    </w:rPr>
  </w:style>
  <w:style w:type="paragraph" w:styleId="Tekstbalonia">
    <w:name w:val="Balloon Text"/>
    <w:basedOn w:val="Normal"/>
    <w:link w:val="TekstbaloniaChar"/>
    <w:uiPriority w:val="99"/>
    <w:semiHidden/>
    <w:unhideWhenUsed/>
    <w:rsid w:val="00487CD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7CD7"/>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7B69CC"/>
    <w:rPr>
      <w:sz w:val="16"/>
      <w:szCs w:val="16"/>
    </w:rPr>
  </w:style>
  <w:style w:type="paragraph" w:styleId="Tekstkomentara">
    <w:name w:val="annotation text"/>
    <w:basedOn w:val="Normal"/>
    <w:link w:val="TekstkomentaraChar"/>
    <w:uiPriority w:val="99"/>
    <w:semiHidden/>
    <w:unhideWhenUsed/>
    <w:rsid w:val="007B69CC"/>
    <w:rPr>
      <w:sz w:val="20"/>
      <w:szCs w:val="20"/>
    </w:rPr>
  </w:style>
  <w:style w:type="character" w:customStyle="1" w:styleId="TekstkomentaraChar">
    <w:name w:val="Tekst komentara Char"/>
    <w:basedOn w:val="Zadanifontodlomka"/>
    <w:link w:val="Tekstkomentara"/>
    <w:uiPriority w:val="99"/>
    <w:semiHidden/>
    <w:rsid w:val="007B69CC"/>
    <w:rPr>
      <w:rFonts w:ascii="Times New Roman" w:eastAsia="Calibri" w:hAnsi="Times New Roman" w:cs="Times New Roman"/>
      <w:sz w:val="20"/>
      <w:szCs w:val="20"/>
      <w:lang w:eastAsia="hr-HR"/>
    </w:rPr>
  </w:style>
  <w:style w:type="paragraph" w:styleId="Zaglavlje">
    <w:name w:val="header"/>
    <w:basedOn w:val="Normal"/>
    <w:link w:val="ZaglavljeChar"/>
    <w:uiPriority w:val="99"/>
    <w:unhideWhenUsed/>
    <w:rsid w:val="003F746F"/>
    <w:pPr>
      <w:tabs>
        <w:tab w:val="center" w:pos="4536"/>
        <w:tab w:val="right" w:pos="9072"/>
      </w:tabs>
    </w:pPr>
  </w:style>
  <w:style w:type="character" w:customStyle="1" w:styleId="ZaglavljeChar">
    <w:name w:val="Zaglavlje Char"/>
    <w:basedOn w:val="Zadanifontodlomka"/>
    <w:link w:val="Zaglavlje"/>
    <w:uiPriority w:val="99"/>
    <w:rsid w:val="003F746F"/>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3F746F"/>
    <w:pPr>
      <w:tabs>
        <w:tab w:val="center" w:pos="4536"/>
        <w:tab w:val="right" w:pos="9072"/>
      </w:tabs>
    </w:pPr>
  </w:style>
  <w:style w:type="character" w:customStyle="1" w:styleId="PodnojeChar">
    <w:name w:val="Podnožje Char"/>
    <w:basedOn w:val="Zadanifontodlomka"/>
    <w:link w:val="Podnoje"/>
    <w:uiPriority w:val="99"/>
    <w:rsid w:val="003F746F"/>
    <w:rPr>
      <w:rFonts w:ascii="Times New Roman" w:eastAsia="Calibri"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4314</Words>
  <Characters>24590</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Fistrić Ana</cp:lastModifiedBy>
  <cp:revision>2</cp:revision>
  <cp:lastPrinted>2022-04-27T08:36:00Z</cp:lastPrinted>
  <dcterms:created xsi:type="dcterms:W3CDTF">2022-04-29T08:43:00Z</dcterms:created>
  <dcterms:modified xsi:type="dcterms:W3CDTF">2022-04-29T08:43:00Z</dcterms:modified>
</cp:coreProperties>
</file>